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44CA834" w14:textId="52BC8F47" w:rsidR="008B6EDE" w:rsidRDefault="00F66C96" w:rsidP="008B6EDE">
      <w:pPr>
        <w:spacing w:line="240" w:lineRule="auto"/>
        <w:jc w:val="center"/>
        <w:rPr>
          <w:rFonts w:eastAsia="Times New Roman"/>
          <w:b/>
          <w:sz w:val="20"/>
          <w:szCs w:val="20"/>
        </w:rPr>
      </w:pPr>
      <w:r>
        <w:rPr>
          <w:rFonts w:eastAsia="Times New Roman"/>
          <w:b/>
          <w:sz w:val="20"/>
          <w:szCs w:val="20"/>
        </w:rPr>
        <w:t>2.</w:t>
      </w:r>
      <w:r w:rsidR="00E67D41">
        <w:rPr>
          <w:rFonts w:eastAsia="Times New Roman"/>
          <w:b/>
          <w:sz w:val="20"/>
          <w:szCs w:val="20"/>
        </w:rPr>
        <w:t>4</w:t>
      </w:r>
      <w:r>
        <w:rPr>
          <w:rFonts w:eastAsia="Times New Roman"/>
          <w:b/>
          <w:sz w:val="20"/>
          <w:szCs w:val="20"/>
        </w:rPr>
        <w:t>.1</w:t>
      </w:r>
      <w:r w:rsidR="008B6EDE">
        <w:rPr>
          <w:rFonts w:eastAsia="Times New Roman"/>
          <w:b/>
          <w:sz w:val="20"/>
          <w:szCs w:val="20"/>
        </w:rPr>
        <w:t>.</w:t>
      </w:r>
      <w:r w:rsidR="00D9107A">
        <w:rPr>
          <w:rFonts w:eastAsia="Times New Roman"/>
          <w:b/>
          <w:sz w:val="20"/>
          <w:szCs w:val="20"/>
        </w:rPr>
        <w:t>SAM</w:t>
      </w:r>
      <w:r w:rsidR="008B6EDE">
        <w:rPr>
          <w:rFonts w:eastAsia="Times New Roman"/>
          <w:b/>
          <w:sz w:val="20"/>
          <w:szCs w:val="20"/>
        </w:rPr>
        <w:t xml:space="preserve"> “</w:t>
      </w:r>
      <w:r w:rsidR="00E67D41" w:rsidRPr="00E67D41">
        <w:rPr>
          <w:rFonts w:eastAsia="Times New Roman"/>
          <w:b/>
          <w:sz w:val="20"/>
          <w:szCs w:val="20"/>
        </w:rPr>
        <w:t xml:space="preserve">Veicināt ilgtspējīgu multimodālu mobilitāti, </w:t>
      </w:r>
      <w:r w:rsidR="005F366D">
        <w:rPr>
          <w:rFonts w:eastAsia="Times New Roman"/>
          <w:b/>
          <w:sz w:val="20"/>
          <w:szCs w:val="20"/>
        </w:rPr>
        <w:t>veicinot</w:t>
      </w:r>
      <w:r w:rsidR="005F366D" w:rsidRPr="00E67D41">
        <w:rPr>
          <w:rFonts w:eastAsia="Times New Roman"/>
          <w:b/>
          <w:sz w:val="20"/>
          <w:szCs w:val="20"/>
        </w:rPr>
        <w:t xml:space="preserve"> </w:t>
      </w:r>
      <w:proofErr w:type="spellStart"/>
      <w:r w:rsidR="00E67D41" w:rsidRPr="00E67D41">
        <w:rPr>
          <w:rFonts w:eastAsia="Times New Roman"/>
          <w:b/>
          <w:sz w:val="20"/>
          <w:szCs w:val="20"/>
        </w:rPr>
        <w:t>elektrotransportlīdzekļu</w:t>
      </w:r>
      <w:proofErr w:type="spellEnd"/>
      <w:r w:rsidR="005F366D">
        <w:rPr>
          <w:rFonts w:eastAsia="Times New Roman"/>
          <w:b/>
          <w:sz w:val="20"/>
          <w:szCs w:val="20"/>
        </w:rPr>
        <w:t xml:space="preserve"> izmantošanu</w:t>
      </w:r>
      <w:r w:rsidR="008B6EDE">
        <w:rPr>
          <w:rFonts w:eastAsia="Times New Roman"/>
          <w:b/>
          <w:sz w:val="20"/>
          <w:szCs w:val="20"/>
        </w:rPr>
        <w:t>”</w:t>
      </w:r>
      <w:r w:rsidR="008B6EDE" w:rsidRPr="008B6EDE">
        <w:rPr>
          <w:rFonts w:eastAsia="Times New Roman"/>
          <w:b/>
          <w:sz w:val="20"/>
          <w:szCs w:val="20"/>
        </w:rPr>
        <w:t xml:space="preserve"> </w:t>
      </w:r>
    </w:p>
    <w:p w14:paraId="34FDBC14" w14:textId="7B1937DD" w:rsidR="00346A86" w:rsidRDefault="00346A86" w:rsidP="008B6EDE">
      <w:pPr>
        <w:spacing w:line="240" w:lineRule="auto"/>
        <w:jc w:val="center"/>
        <w:rPr>
          <w:rFonts w:eastAsia="Times New Roman"/>
          <w:b/>
          <w:sz w:val="20"/>
          <w:szCs w:val="20"/>
        </w:rPr>
      </w:pPr>
      <w:r w:rsidRPr="001871A5">
        <w:rPr>
          <w:b/>
          <w:bCs/>
          <w:sz w:val="20"/>
          <w:szCs w:val="20"/>
        </w:rPr>
        <w:t xml:space="preserve">(AF investīcija </w:t>
      </w:r>
      <w:r w:rsidR="0054431E" w:rsidRPr="001871A5">
        <w:rPr>
          <w:b/>
          <w:bCs/>
          <w:sz w:val="20"/>
          <w:szCs w:val="20"/>
        </w:rPr>
        <w:t>1.1.1.2.i.</w:t>
      </w:r>
      <w:r w:rsidR="00E67D41" w:rsidRPr="001871A5">
        <w:rPr>
          <w:b/>
          <w:bCs/>
          <w:sz w:val="20"/>
          <w:szCs w:val="20"/>
        </w:rPr>
        <w:t>1</w:t>
      </w:r>
      <w:r w:rsidR="0054431E" w:rsidRPr="001871A5">
        <w:rPr>
          <w:b/>
          <w:bCs/>
          <w:sz w:val="20"/>
          <w:szCs w:val="20"/>
        </w:rPr>
        <w:t>. Videi draudzīgi uzlabojumi Rīgas pilsētas sabiedriskā transporta sistēmā</w:t>
      </w:r>
      <w:r>
        <w:rPr>
          <w:b/>
          <w:bCs/>
          <w:sz w:val="20"/>
          <w:szCs w:val="20"/>
          <w:lang w:val="en-GB"/>
        </w:rPr>
        <w:t>)</w:t>
      </w:r>
    </w:p>
    <w:p w14:paraId="0E65F8B7" w14:textId="10472378" w:rsidR="008B6EDE" w:rsidRDefault="008B6EDE" w:rsidP="008B6EDE">
      <w:pPr>
        <w:spacing w:line="240" w:lineRule="auto"/>
        <w:jc w:val="center"/>
        <w:rPr>
          <w:rFonts w:eastAsia="Times New Roman"/>
          <w:b/>
          <w:sz w:val="20"/>
          <w:szCs w:val="20"/>
        </w:rPr>
      </w:pPr>
    </w:p>
    <w:tbl>
      <w:tblPr>
        <w:tblW w:w="10632" w:type="dxa"/>
        <w:tblLayout w:type="fixed"/>
        <w:tblCellMar>
          <w:left w:w="10" w:type="dxa"/>
          <w:right w:w="10" w:type="dxa"/>
        </w:tblCellMar>
        <w:tblLook w:val="0000" w:firstRow="0" w:lastRow="0" w:firstColumn="0" w:lastColumn="0" w:noHBand="0" w:noVBand="0"/>
      </w:tblPr>
      <w:tblGrid>
        <w:gridCol w:w="3261"/>
        <w:gridCol w:w="147"/>
        <w:gridCol w:w="562"/>
        <w:gridCol w:w="147"/>
        <w:gridCol w:w="567"/>
        <w:gridCol w:w="5948"/>
      </w:tblGrid>
      <w:tr w:rsidR="0054431E" w:rsidRPr="0054431E" w14:paraId="150617C7" w14:textId="77777777" w:rsidTr="0054431E">
        <w:trPr>
          <w:trHeight w:val="425"/>
        </w:trPr>
        <w:tc>
          <w:tcPr>
            <w:tcW w:w="3408" w:type="dxa"/>
            <w:gridSpan w:val="2"/>
            <w:shd w:val="clear" w:color="auto" w:fill="auto"/>
            <w:noWrap/>
            <w:tcMar>
              <w:top w:w="15" w:type="dxa"/>
              <w:left w:w="108" w:type="dxa"/>
              <w:bottom w:w="15" w:type="dxa"/>
              <w:right w:w="108" w:type="dxa"/>
            </w:tcMar>
            <w:vAlign w:val="bottom"/>
          </w:tcPr>
          <w:p w14:paraId="0EEE37D6"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1. daļa</w:t>
            </w:r>
          </w:p>
        </w:tc>
        <w:tc>
          <w:tcPr>
            <w:tcW w:w="709" w:type="dxa"/>
            <w:gridSpan w:val="2"/>
            <w:shd w:val="clear" w:color="auto" w:fill="auto"/>
            <w:noWrap/>
            <w:tcMar>
              <w:top w:w="15" w:type="dxa"/>
              <w:left w:w="108" w:type="dxa"/>
              <w:bottom w:w="15" w:type="dxa"/>
              <w:right w:w="108" w:type="dxa"/>
            </w:tcMar>
            <w:vAlign w:val="bottom"/>
          </w:tcPr>
          <w:p w14:paraId="63E0D007" w14:textId="77777777" w:rsidR="0054431E" w:rsidRPr="0054431E" w:rsidRDefault="0054431E" w:rsidP="0054431E">
            <w:pPr>
              <w:spacing w:line="240" w:lineRule="auto"/>
              <w:rPr>
                <w:rFonts w:eastAsia="Times New Roman"/>
                <w:b/>
                <w:bCs/>
                <w:sz w:val="20"/>
                <w:szCs w:val="20"/>
                <w:lang w:eastAsia="lv-LV"/>
              </w:rPr>
            </w:pPr>
          </w:p>
        </w:tc>
        <w:tc>
          <w:tcPr>
            <w:tcW w:w="6515" w:type="dxa"/>
            <w:gridSpan w:val="2"/>
            <w:shd w:val="clear" w:color="auto" w:fill="auto"/>
            <w:tcMar>
              <w:top w:w="15" w:type="dxa"/>
              <w:left w:w="108" w:type="dxa"/>
              <w:bottom w:w="15" w:type="dxa"/>
              <w:right w:w="108" w:type="dxa"/>
            </w:tcMar>
            <w:vAlign w:val="center"/>
          </w:tcPr>
          <w:p w14:paraId="42997ABA" w14:textId="77777777" w:rsidR="0054431E" w:rsidRPr="0054431E" w:rsidRDefault="0054431E" w:rsidP="0054431E">
            <w:pPr>
              <w:spacing w:line="240" w:lineRule="auto"/>
              <w:rPr>
                <w:rFonts w:eastAsia="Times New Roman"/>
                <w:i/>
                <w:iCs/>
                <w:sz w:val="20"/>
                <w:szCs w:val="20"/>
                <w:lang w:eastAsia="lv-LV"/>
              </w:rPr>
            </w:pPr>
          </w:p>
        </w:tc>
      </w:tr>
      <w:tr w:rsidR="0054431E" w:rsidRPr="0054431E" w14:paraId="589FA0B8" w14:textId="77777777" w:rsidTr="0054431E">
        <w:trPr>
          <w:trHeight w:val="9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25CAD77B" w14:textId="77777777" w:rsidR="0054431E" w:rsidRPr="0054431E" w:rsidRDefault="0054431E" w:rsidP="0054431E">
            <w:pPr>
              <w:spacing w:line="240" w:lineRule="auto"/>
              <w:rPr>
                <w:rFonts w:eastAsia="Times New Roman"/>
                <w:i/>
                <w:iCs/>
                <w:sz w:val="20"/>
                <w:szCs w:val="20"/>
                <w:lang w:eastAsia="lv-LV"/>
              </w:rPr>
            </w:pPr>
            <w:r w:rsidRPr="0054431E">
              <w:rPr>
                <w:rFonts w:eastAsia="Times New Roman"/>
                <w:i/>
                <w:iCs/>
                <w:sz w:val="20"/>
                <w:szCs w:val="20"/>
                <w:lang w:eastAsia="lv-LV"/>
              </w:rPr>
              <w:t>Norādiet, kuri no turpmāk minētajiem vides mērķiem prasa padziļinātu pasākuma novērtējumu no NBK viedokļa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71B94746"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6BF02E1B"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7825AE60"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Pamatojums, ja novērtējums ir "NĒ"</w:t>
            </w:r>
          </w:p>
        </w:tc>
      </w:tr>
      <w:tr w:rsidR="0054431E" w:rsidRPr="0054431E" w14:paraId="63A991FD" w14:textId="77777777" w:rsidTr="0054431E">
        <w:trPr>
          <w:trHeight w:val="3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EE598D1" w14:textId="77777777" w:rsidR="0054431E" w:rsidRPr="0054431E" w:rsidRDefault="0054431E" w:rsidP="0054431E">
            <w:pPr>
              <w:spacing w:line="240" w:lineRule="auto"/>
              <w:ind w:left="330" w:hanging="330"/>
              <w:rPr>
                <w:rFonts w:eastAsia="Times New Roman"/>
                <w:b/>
                <w:bCs/>
                <w:sz w:val="20"/>
                <w:szCs w:val="20"/>
                <w:lang w:eastAsia="lv-LV"/>
              </w:rPr>
            </w:pPr>
            <w:r w:rsidRPr="0054431E">
              <w:rPr>
                <w:rFonts w:eastAsia="Times New Roman"/>
                <w:b/>
                <w:bCs/>
                <w:sz w:val="20"/>
                <w:szCs w:val="20"/>
                <w:lang w:eastAsia="lv-LV"/>
              </w:rPr>
              <w:t xml:space="preserve">Klimata pārmaiņu mazināšana </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924924C" w14:textId="77777777" w:rsidR="0054431E" w:rsidRPr="0054431E"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B0D3791"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651973DD" w14:textId="77777777" w:rsidR="0054431E" w:rsidRPr="0054431E" w:rsidRDefault="0054431E" w:rsidP="0054431E">
            <w:pPr>
              <w:spacing w:line="259" w:lineRule="auto"/>
              <w:jc w:val="both"/>
              <w:rPr>
                <w:sz w:val="20"/>
                <w:szCs w:val="20"/>
              </w:rPr>
            </w:pPr>
            <w:r w:rsidRPr="0054431E">
              <w:rPr>
                <w:b/>
                <w:bCs/>
                <w:sz w:val="20"/>
                <w:szCs w:val="20"/>
              </w:rPr>
              <w:t>Ietekme uz SEG emisijām</w:t>
            </w:r>
            <w:r w:rsidRPr="0054431E">
              <w:rPr>
                <w:sz w:val="20"/>
                <w:szCs w:val="20"/>
              </w:rPr>
              <w:t xml:space="preserve"> </w:t>
            </w:r>
          </w:p>
          <w:p w14:paraId="1C7EDC59" w14:textId="4E6D0AE8" w:rsidR="0054431E" w:rsidRPr="0054431E" w:rsidRDefault="0054431E" w:rsidP="0054431E">
            <w:pPr>
              <w:numPr>
                <w:ilvl w:val="0"/>
                <w:numId w:val="1"/>
              </w:numPr>
              <w:suppressAutoHyphens/>
              <w:autoSpaceDN w:val="0"/>
              <w:spacing w:after="160" w:line="247" w:lineRule="auto"/>
              <w:jc w:val="both"/>
              <w:textAlignment w:val="baseline"/>
              <w:rPr>
                <w:rFonts w:eastAsiaTheme="minorEastAsia"/>
                <w:sz w:val="20"/>
                <w:szCs w:val="20"/>
              </w:rPr>
            </w:pPr>
            <w:r w:rsidRPr="0054431E">
              <w:rPr>
                <w:sz w:val="20"/>
                <w:szCs w:val="20"/>
              </w:rPr>
              <w:t>Pasākums 100% atbalsta klimata pārmaiņu mērķi (</w:t>
            </w:r>
            <w:r w:rsidR="00DD25B9" w:rsidRPr="00DD25B9">
              <w:rPr>
                <w:sz w:val="20"/>
                <w:szCs w:val="20"/>
              </w:rPr>
              <w:t>107 – mobilie nulles emisijas / ar elektrību darbināmie dzelzceļa aktīvi</w:t>
            </w:r>
            <w:r w:rsidRPr="0054431E">
              <w:rPr>
                <w:rFonts w:eastAsiaTheme="minorEastAsia"/>
                <w:sz w:val="20"/>
                <w:szCs w:val="20"/>
              </w:rPr>
              <w:t>)</w:t>
            </w:r>
            <w:r w:rsidRPr="0054431E">
              <w:rPr>
                <w:sz w:val="20"/>
                <w:szCs w:val="20"/>
              </w:rPr>
              <w:t xml:space="preserve"> un tādējādi tiek uzskatīts par atbilstīgu NBK attiecībā uz attiecīgo mērķi.</w:t>
            </w:r>
          </w:p>
          <w:p w14:paraId="49D80DDC" w14:textId="190CBD33" w:rsidR="0054431E" w:rsidRPr="0054431E" w:rsidRDefault="0054431E" w:rsidP="0054431E">
            <w:pPr>
              <w:numPr>
                <w:ilvl w:val="0"/>
                <w:numId w:val="1"/>
              </w:numPr>
              <w:suppressAutoHyphens/>
              <w:autoSpaceDN w:val="0"/>
              <w:spacing w:after="160" w:line="247" w:lineRule="auto"/>
              <w:jc w:val="both"/>
              <w:textAlignment w:val="baseline"/>
              <w:rPr>
                <w:b/>
                <w:bCs/>
                <w:sz w:val="20"/>
                <w:szCs w:val="20"/>
              </w:rPr>
            </w:pPr>
            <w:r w:rsidRPr="0054431E">
              <w:rPr>
                <w:sz w:val="20"/>
                <w:szCs w:val="20"/>
              </w:rPr>
              <w:t xml:space="preserve">Pasākuma ietvaros notiks videi draudzīgi uzlabojumi transporta sistēmā, t.i., </w:t>
            </w:r>
            <w:r w:rsidR="00DD25B9">
              <w:rPr>
                <w:sz w:val="20"/>
                <w:szCs w:val="20"/>
              </w:rPr>
              <w:t xml:space="preserve">tiks iegādāti </w:t>
            </w:r>
            <w:proofErr w:type="spellStart"/>
            <w:r w:rsidR="00DD25B9">
              <w:rPr>
                <w:sz w:val="20"/>
                <w:szCs w:val="20"/>
              </w:rPr>
              <w:t>bezemisiju</w:t>
            </w:r>
            <w:proofErr w:type="spellEnd"/>
            <w:r w:rsidR="00DD25B9">
              <w:rPr>
                <w:sz w:val="20"/>
                <w:szCs w:val="20"/>
              </w:rPr>
              <w:t xml:space="preserve"> </w:t>
            </w:r>
            <w:proofErr w:type="spellStart"/>
            <w:r w:rsidR="00DD25B9">
              <w:rPr>
                <w:sz w:val="20"/>
                <w:szCs w:val="20"/>
              </w:rPr>
              <w:t>ritekļi</w:t>
            </w:r>
            <w:proofErr w:type="spellEnd"/>
            <w:r w:rsidR="00520543">
              <w:rPr>
                <w:sz w:val="20"/>
                <w:szCs w:val="20"/>
              </w:rPr>
              <w:t xml:space="preserve"> un </w:t>
            </w:r>
            <w:r w:rsidR="00A62DF7">
              <w:rPr>
                <w:sz w:val="20"/>
                <w:szCs w:val="20"/>
              </w:rPr>
              <w:t>attīstīta</w:t>
            </w:r>
            <w:r w:rsidR="00520543">
              <w:rPr>
                <w:sz w:val="20"/>
                <w:szCs w:val="20"/>
              </w:rPr>
              <w:t xml:space="preserve"> tiem nepieciešamā </w:t>
            </w:r>
            <w:proofErr w:type="spellStart"/>
            <w:r w:rsidR="00520543">
              <w:rPr>
                <w:sz w:val="20"/>
                <w:szCs w:val="20"/>
              </w:rPr>
              <w:t>elektrouzlādes</w:t>
            </w:r>
            <w:proofErr w:type="spellEnd"/>
            <w:r w:rsidR="00520543">
              <w:rPr>
                <w:sz w:val="20"/>
                <w:szCs w:val="20"/>
              </w:rPr>
              <w:t xml:space="preserve"> infrastruktūra</w:t>
            </w:r>
            <w:r w:rsidRPr="0054431E">
              <w:rPr>
                <w:sz w:val="20"/>
                <w:szCs w:val="20"/>
              </w:rPr>
              <w:t xml:space="preserve">. </w:t>
            </w:r>
            <w:r w:rsidR="00DD25B9" w:rsidRPr="001777A8">
              <w:rPr>
                <w:sz w:val="20"/>
                <w:szCs w:val="20"/>
              </w:rPr>
              <w:t xml:space="preserve">Investīcijas veicinās pasažieru plūsmu virzību no privātajiem transportlīdzekļiem uz  sabiedrisko transportu. Neturpinot ieguldījumus dzelzceļa </w:t>
            </w:r>
            <w:r w:rsidR="00DD25B9">
              <w:rPr>
                <w:sz w:val="20"/>
                <w:szCs w:val="20"/>
              </w:rPr>
              <w:t xml:space="preserve">pasažieru ritošā sastāva </w:t>
            </w:r>
            <w:r w:rsidR="00DD25B9" w:rsidRPr="001777A8">
              <w:rPr>
                <w:sz w:val="20"/>
                <w:szCs w:val="20"/>
              </w:rPr>
              <w:t xml:space="preserve">attīstībā, nav iespējams būtiski uzlabot sabiedriskā transporta konkurētspēju salīdzinājumā ar autotransportu, galvenokārt ar to domājot tieši iespēju pārvietoties ātrāk, videi draudzīgāk un komfortablāk nekā ar vieglo auto. Attiecīgi tas ir iespējams, īstenojot Transporta attīstības pamatnostādņu 2021.–2027. gadam pasākumus par ieguldījumiem dzelzceļa </w:t>
            </w:r>
            <w:proofErr w:type="spellStart"/>
            <w:r w:rsidR="00DD25B9" w:rsidRPr="001777A8">
              <w:rPr>
                <w:sz w:val="20"/>
                <w:szCs w:val="20"/>
              </w:rPr>
              <w:t>ritekļos</w:t>
            </w:r>
            <w:proofErr w:type="spellEnd"/>
            <w:r w:rsidR="00DD25B9" w:rsidRPr="001777A8">
              <w:rPr>
                <w:sz w:val="20"/>
                <w:szCs w:val="20"/>
              </w:rPr>
              <w:t>.</w:t>
            </w:r>
          </w:p>
          <w:p w14:paraId="00988E5D" w14:textId="57848B6F" w:rsidR="0054431E" w:rsidRPr="0054431E" w:rsidRDefault="00520543" w:rsidP="0054431E">
            <w:pPr>
              <w:numPr>
                <w:ilvl w:val="0"/>
                <w:numId w:val="1"/>
              </w:numPr>
              <w:suppressAutoHyphens/>
              <w:autoSpaceDN w:val="0"/>
              <w:spacing w:after="160" w:line="247" w:lineRule="auto"/>
              <w:jc w:val="both"/>
              <w:textAlignment w:val="baseline"/>
              <w:rPr>
                <w:b/>
                <w:bCs/>
                <w:sz w:val="20"/>
                <w:szCs w:val="20"/>
              </w:rPr>
            </w:pPr>
            <w:proofErr w:type="spellStart"/>
            <w:r>
              <w:rPr>
                <w:sz w:val="20"/>
                <w:szCs w:val="20"/>
              </w:rPr>
              <w:t>Bezemisiju</w:t>
            </w:r>
            <w:proofErr w:type="spellEnd"/>
            <w:r>
              <w:rPr>
                <w:sz w:val="20"/>
                <w:szCs w:val="20"/>
              </w:rPr>
              <w:t xml:space="preserve"> </w:t>
            </w:r>
            <w:proofErr w:type="spellStart"/>
            <w:r>
              <w:rPr>
                <w:sz w:val="20"/>
                <w:szCs w:val="20"/>
              </w:rPr>
              <w:t>ritekļu</w:t>
            </w:r>
            <w:proofErr w:type="spellEnd"/>
            <w:r>
              <w:rPr>
                <w:sz w:val="20"/>
                <w:szCs w:val="20"/>
              </w:rPr>
              <w:t xml:space="preserve"> iegāde</w:t>
            </w:r>
            <w:r w:rsidR="00935571" w:rsidRPr="00935571">
              <w:rPr>
                <w:sz w:val="20"/>
                <w:szCs w:val="20"/>
              </w:rPr>
              <w:t xml:space="preserve"> un infrastruktūras to uzlādei </w:t>
            </w:r>
            <w:r w:rsidR="00404383">
              <w:rPr>
                <w:sz w:val="20"/>
                <w:szCs w:val="20"/>
              </w:rPr>
              <w:t>attīstība veicinās</w:t>
            </w:r>
            <w:r w:rsidR="0054431E" w:rsidRPr="0054431E">
              <w:rPr>
                <w:sz w:val="20"/>
                <w:szCs w:val="20"/>
              </w:rPr>
              <w:t xml:space="preserve"> SEG emisiju samazinājumu</w:t>
            </w:r>
            <w:r w:rsidR="00404383">
              <w:rPr>
                <w:sz w:val="20"/>
                <w:szCs w:val="20"/>
              </w:rPr>
              <w:t>.</w:t>
            </w:r>
          </w:p>
          <w:p w14:paraId="4BD00139" w14:textId="17E2E034" w:rsidR="0054431E" w:rsidRPr="0054431E" w:rsidRDefault="0054431E" w:rsidP="0054431E">
            <w:pPr>
              <w:suppressAutoHyphens/>
              <w:autoSpaceDN w:val="0"/>
              <w:spacing w:after="160" w:line="247" w:lineRule="auto"/>
              <w:ind w:left="720"/>
              <w:jc w:val="both"/>
              <w:textAlignment w:val="baseline"/>
              <w:rPr>
                <w:sz w:val="20"/>
                <w:szCs w:val="20"/>
              </w:rPr>
            </w:pPr>
          </w:p>
          <w:p w14:paraId="76E67158" w14:textId="77777777" w:rsidR="0054431E" w:rsidRPr="0054431E" w:rsidRDefault="0054431E" w:rsidP="0054431E">
            <w:pPr>
              <w:suppressAutoHyphens/>
              <w:autoSpaceDN w:val="0"/>
              <w:spacing w:after="160" w:line="247" w:lineRule="auto"/>
              <w:jc w:val="both"/>
              <w:textAlignment w:val="baseline"/>
              <w:rPr>
                <w:b/>
                <w:bCs/>
                <w:sz w:val="20"/>
                <w:szCs w:val="20"/>
              </w:rPr>
            </w:pPr>
            <w:r w:rsidRPr="0054431E">
              <w:rPr>
                <w:b/>
                <w:bCs/>
                <w:sz w:val="20"/>
                <w:szCs w:val="20"/>
              </w:rPr>
              <w:t>Sasaiste ar mobilitātes un ilgtspējīga transporta attīstības mērķiem</w:t>
            </w:r>
          </w:p>
          <w:p w14:paraId="2BC8B825" w14:textId="77777777" w:rsidR="009204E9" w:rsidRDefault="009204E9" w:rsidP="009204E9">
            <w:pPr>
              <w:suppressAutoHyphens/>
              <w:autoSpaceDN w:val="0"/>
              <w:spacing w:after="160" w:line="247" w:lineRule="auto"/>
              <w:ind w:left="313"/>
              <w:contextualSpacing/>
              <w:jc w:val="both"/>
              <w:textAlignment w:val="baseline"/>
              <w:rPr>
                <w:b/>
                <w:sz w:val="20"/>
                <w:szCs w:val="20"/>
                <w:lang w:eastAsia="lv-LV"/>
              </w:rPr>
            </w:pPr>
          </w:p>
          <w:p w14:paraId="3CB7203C" w14:textId="046D1D77" w:rsidR="009204E9" w:rsidRPr="009204E9" w:rsidRDefault="00AD5312" w:rsidP="009204E9">
            <w:pPr>
              <w:suppressAutoHyphens/>
              <w:autoSpaceDN w:val="0"/>
              <w:spacing w:after="160" w:line="247" w:lineRule="auto"/>
              <w:ind w:left="313"/>
              <w:contextualSpacing/>
              <w:jc w:val="both"/>
              <w:textAlignment w:val="baseline"/>
              <w:rPr>
                <w:b/>
                <w:sz w:val="20"/>
                <w:szCs w:val="20"/>
                <w:lang w:eastAsia="lv-LV"/>
              </w:rPr>
            </w:pPr>
            <w:proofErr w:type="spellStart"/>
            <w:r>
              <w:rPr>
                <w:b/>
                <w:sz w:val="20"/>
                <w:szCs w:val="20"/>
                <w:lang w:eastAsia="lv-LV"/>
              </w:rPr>
              <w:t>Bezemisiju</w:t>
            </w:r>
            <w:proofErr w:type="spellEnd"/>
            <w:r>
              <w:rPr>
                <w:b/>
                <w:sz w:val="20"/>
                <w:szCs w:val="20"/>
                <w:lang w:eastAsia="lv-LV"/>
              </w:rPr>
              <w:t xml:space="preserve"> vilcieni</w:t>
            </w:r>
            <w:r w:rsidR="00520543">
              <w:rPr>
                <w:b/>
                <w:sz w:val="20"/>
                <w:szCs w:val="20"/>
                <w:lang w:eastAsia="lv-LV"/>
              </w:rPr>
              <w:t xml:space="preserve"> un to uzlādes infrastruktūra</w:t>
            </w:r>
          </w:p>
          <w:p w14:paraId="5573B3BD" w14:textId="38B13556" w:rsidR="009204E9" w:rsidRPr="00AD5312" w:rsidRDefault="00AD5312" w:rsidP="009204E9">
            <w:pPr>
              <w:numPr>
                <w:ilvl w:val="0"/>
                <w:numId w:val="3"/>
              </w:numPr>
              <w:suppressAutoHyphens/>
              <w:autoSpaceDN w:val="0"/>
              <w:spacing w:after="160" w:line="247" w:lineRule="auto"/>
              <w:contextualSpacing/>
              <w:jc w:val="both"/>
              <w:textAlignment w:val="baseline"/>
              <w:rPr>
                <w:b/>
                <w:sz w:val="20"/>
                <w:szCs w:val="20"/>
                <w:lang w:eastAsia="lv-LV"/>
              </w:rPr>
            </w:pPr>
            <w:r w:rsidRPr="001777A8">
              <w:rPr>
                <w:sz w:val="20"/>
                <w:szCs w:val="20"/>
              </w:rPr>
              <w:t xml:space="preserve">Transporta attīstības pamatnostādnēs 2021.–2027. gadam  </w:t>
            </w:r>
            <w:r w:rsidRPr="001777A8">
              <w:rPr>
                <w:rFonts w:eastAsia="Times New Roman"/>
                <w:sz w:val="20"/>
                <w:szCs w:val="20"/>
                <w:lang w:eastAsia="lv-LV"/>
              </w:rPr>
              <w:t>dzelzceļa transports tiek atzīts par videi draudzīgāko transporta veidu un pasažieru pārvadājumu segmentā, bet ne tikai, ir izvirzīti uzdevumi tā attīstībai.</w:t>
            </w:r>
          </w:p>
          <w:p w14:paraId="3D07C94E" w14:textId="2B7084DE" w:rsidR="00881C15" w:rsidRPr="00881C15" w:rsidRDefault="00881C15" w:rsidP="00881C15">
            <w:pPr>
              <w:numPr>
                <w:ilvl w:val="0"/>
                <w:numId w:val="3"/>
              </w:numPr>
              <w:suppressAutoHyphens/>
              <w:autoSpaceDN w:val="0"/>
              <w:spacing w:after="160" w:line="247" w:lineRule="auto"/>
              <w:contextualSpacing/>
              <w:jc w:val="both"/>
              <w:textAlignment w:val="baseline"/>
              <w:rPr>
                <w:rFonts w:eastAsia="Calibri"/>
                <w:b/>
                <w:sz w:val="20"/>
                <w:szCs w:val="20"/>
                <w:lang w:eastAsia="lv-LV"/>
              </w:rPr>
            </w:pPr>
            <w:r w:rsidRPr="00881C15">
              <w:rPr>
                <w:rFonts w:eastAsia="Calibri"/>
                <w:sz w:val="20"/>
                <w:szCs w:val="20"/>
              </w:rPr>
              <w:t>Paredzētie pasākumi tiešā veidā atbilst Transporta attīstības pamatnostādņu 2021.–2027. gadam uzdevumam 4.5. - ‘Attīstīt dzelzceļa tīkla infrastruktūru un atjaunot ritošo sastāvu’, kas ietver pasākumu</w:t>
            </w:r>
            <w:r w:rsidR="00520543">
              <w:rPr>
                <w:rFonts w:eastAsia="Calibri"/>
                <w:sz w:val="20"/>
                <w:szCs w:val="20"/>
              </w:rPr>
              <w:t>s</w:t>
            </w:r>
            <w:r w:rsidRPr="00881C15">
              <w:rPr>
                <w:rFonts w:eastAsia="Calibri"/>
                <w:sz w:val="20"/>
                <w:szCs w:val="20"/>
              </w:rPr>
              <w:t>:</w:t>
            </w:r>
          </w:p>
          <w:p w14:paraId="09C2C4A5" w14:textId="7E9D20F2" w:rsidR="00520543" w:rsidRDefault="00520543" w:rsidP="00881C15">
            <w:pPr>
              <w:numPr>
                <w:ilvl w:val="0"/>
                <w:numId w:val="4"/>
              </w:numPr>
              <w:suppressAutoHyphens/>
              <w:autoSpaceDN w:val="0"/>
              <w:spacing w:after="160" w:line="247" w:lineRule="auto"/>
              <w:contextualSpacing/>
              <w:jc w:val="both"/>
              <w:textAlignment w:val="baseline"/>
              <w:rPr>
                <w:rFonts w:eastAsia="Calibri"/>
                <w:sz w:val="20"/>
                <w:szCs w:val="20"/>
                <w:lang w:eastAsia="lv-LV"/>
              </w:rPr>
            </w:pPr>
            <w:r w:rsidRPr="00520543">
              <w:rPr>
                <w:rFonts w:eastAsia="Calibri"/>
                <w:sz w:val="20"/>
                <w:szCs w:val="20"/>
                <w:lang w:eastAsia="lv-LV"/>
              </w:rPr>
              <w:t>(4.5.2.) Jaunu akumulatoru bateriju vilcienu iegāde un esošā dīzeļvilcienu ritošā sastāva nomaiņa;</w:t>
            </w:r>
          </w:p>
          <w:p w14:paraId="6EC28DD3" w14:textId="31E7194F" w:rsidR="00881C15" w:rsidRPr="00881C15" w:rsidRDefault="00881C15" w:rsidP="00881C15">
            <w:pPr>
              <w:numPr>
                <w:ilvl w:val="0"/>
                <w:numId w:val="4"/>
              </w:numPr>
              <w:suppressAutoHyphens/>
              <w:autoSpaceDN w:val="0"/>
              <w:spacing w:after="160" w:line="247" w:lineRule="auto"/>
              <w:contextualSpacing/>
              <w:jc w:val="both"/>
              <w:textAlignment w:val="baseline"/>
              <w:rPr>
                <w:rFonts w:eastAsia="Calibri"/>
                <w:sz w:val="20"/>
                <w:szCs w:val="20"/>
                <w:lang w:eastAsia="lv-LV"/>
              </w:rPr>
            </w:pPr>
            <w:r w:rsidRPr="00881C15">
              <w:rPr>
                <w:rFonts w:eastAsia="Calibri"/>
                <w:sz w:val="20"/>
                <w:szCs w:val="20"/>
              </w:rPr>
              <w:t>(4.5.</w:t>
            </w:r>
            <w:r>
              <w:rPr>
                <w:rFonts w:eastAsia="Calibri"/>
                <w:sz w:val="20"/>
                <w:szCs w:val="20"/>
              </w:rPr>
              <w:t>3</w:t>
            </w:r>
            <w:r w:rsidRPr="00881C15">
              <w:rPr>
                <w:rFonts w:eastAsia="Calibri"/>
                <w:sz w:val="20"/>
                <w:szCs w:val="20"/>
              </w:rPr>
              <w:t xml:space="preserve">.) </w:t>
            </w:r>
            <w:r w:rsidRPr="00881C15">
              <w:rPr>
                <w:rFonts w:eastAsia="Calibri"/>
                <w:sz w:val="20"/>
                <w:szCs w:val="20"/>
                <w:lang w:eastAsia="lv-LV"/>
              </w:rPr>
              <w:t>Atjaunot elektrovilcienu ritošo sastāvu.</w:t>
            </w:r>
          </w:p>
          <w:p w14:paraId="38C7C559" w14:textId="77777777" w:rsidR="00881C15" w:rsidRPr="00881C15" w:rsidRDefault="00881C15" w:rsidP="00881C15">
            <w:pPr>
              <w:numPr>
                <w:ilvl w:val="0"/>
                <w:numId w:val="3"/>
              </w:numPr>
              <w:suppressAutoHyphens/>
              <w:autoSpaceDN w:val="0"/>
              <w:spacing w:after="160" w:line="247" w:lineRule="auto"/>
              <w:contextualSpacing/>
              <w:jc w:val="both"/>
              <w:textAlignment w:val="baseline"/>
              <w:rPr>
                <w:rFonts w:eastAsia="Calibri"/>
                <w:b/>
                <w:sz w:val="20"/>
                <w:szCs w:val="20"/>
                <w:lang w:eastAsia="lv-LV"/>
              </w:rPr>
            </w:pPr>
            <w:r w:rsidRPr="00881C15">
              <w:rPr>
                <w:rFonts w:eastAsia="Calibri"/>
                <w:sz w:val="20"/>
                <w:szCs w:val="20"/>
              </w:rPr>
              <w:t>Paredzētās darbības tiešā veidā palīdz sasniegt Transporta attīstības pamatnostādnēs 2021.–2027. gadam noteikto politikas rezultātu rezultatīvo rādītāju, t.i., samazināt kopējo SEG emisiju daudzumu transporta sektorā.</w:t>
            </w:r>
          </w:p>
          <w:p w14:paraId="10309E2F" w14:textId="77777777" w:rsidR="0054431E" w:rsidRPr="0054431E" w:rsidRDefault="0054431E" w:rsidP="0054431E">
            <w:pPr>
              <w:suppressAutoHyphens/>
              <w:autoSpaceDN w:val="0"/>
              <w:spacing w:after="160" w:line="247" w:lineRule="auto"/>
              <w:ind w:left="720"/>
              <w:contextualSpacing/>
              <w:jc w:val="both"/>
              <w:textAlignment w:val="baseline"/>
              <w:rPr>
                <w:rFonts w:eastAsiaTheme="minorEastAsia"/>
                <w:sz w:val="20"/>
                <w:szCs w:val="20"/>
              </w:rPr>
            </w:pPr>
          </w:p>
          <w:p w14:paraId="34311F4E" w14:textId="77777777" w:rsidR="0054431E" w:rsidRPr="0054431E" w:rsidRDefault="0054431E" w:rsidP="0054431E">
            <w:pPr>
              <w:spacing w:line="259" w:lineRule="auto"/>
              <w:jc w:val="both"/>
              <w:rPr>
                <w:b/>
                <w:bCs/>
                <w:sz w:val="20"/>
                <w:szCs w:val="20"/>
              </w:rPr>
            </w:pPr>
            <w:r w:rsidRPr="0054431E">
              <w:rPr>
                <w:b/>
                <w:bCs/>
                <w:sz w:val="20"/>
                <w:szCs w:val="20"/>
              </w:rPr>
              <w:t>Sasaiste ar reģionālās attīstības mērķiem</w:t>
            </w:r>
          </w:p>
          <w:p w14:paraId="6E23FD7E" w14:textId="77777777" w:rsidR="00537767" w:rsidRDefault="00537767" w:rsidP="00483379">
            <w:pPr>
              <w:spacing w:line="259" w:lineRule="auto"/>
              <w:ind w:left="360"/>
              <w:contextualSpacing/>
              <w:jc w:val="both"/>
              <w:rPr>
                <w:sz w:val="20"/>
                <w:szCs w:val="20"/>
              </w:rPr>
            </w:pPr>
          </w:p>
          <w:p w14:paraId="5B8ACFF2" w14:textId="71303B8F" w:rsidR="0054431E" w:rsidRPr="0054431E" w:rsidRDefault="001D7941" w:rsidP="00483379">
            <w:pPr>
              <w:spacing w:line="259" w:lineRule="auto"/>
              <w:ind w:left="360"/>
              <w:contextualSpacing/>
              <w:jc w:val="both"/>
              <w:rPr>
                <w:sz w:val="20"/>
                <w:szCs w:val="20"/>
              </w:rPr>
            </w:pPr>
            <w:r>
              <w:rPr>
                <w:sz w:val="20"/>
                <w:szCs w:val="20"/>
              </w:rPr>
              <w:t xml:space="preserve">Investīcijas ir plānotas saskaņā ar Reģionālās politikas pamatnostādnēs 2021.-2027.gadam ietvertajiem uzdevumiem B.2.1. “Sasniedzamība starp reģioniem”. Paredzētās darbības </w:t>
            </w:r>
            <w:r w:rsidR="00847CE1">
              <w:rPr>
                <w:sz w:val="20"/>
                <w:szCs w:val="20"/>
              </w:rPr>
              <w:t xml:space="preserve">palīdzēs </w:t>
            </w:r>
            <w:r>
              <w:rPr>
                <w:sz w:val="20"/>
                <w:szCs w:val="20"/>
              </w:rPr>
              <w:t>risinā</w:t>
            </w:r>
            <w:r w:rsidR="00847CE1">
              <w:rPr>
                <w:sz w:val="20"/>
                <w:szCs w:val="20"/>
              </w:rPr>
              <w:t>t</w:t>
            </w:r>
            <w:r>
              <w:rPr>
                <w:sz w:val="20"/>
                <w:szCs w:val="20"/>
              </w:rPr>
              <w:t xml:space="preserve"> uzdevumā definētās mobilitātes problēmas reģionos</w:t>
            </w:r>
            <w:r w:rsidR="00881C15">
              <w:rPr>
                <w:sz w:val="20"/>
                <w:szCs w:val="20"/>
              </w:rPr>
              <w:t>, uzlabot novadu centru sasniedzamību, tādējādi uzlabojot darba vietu un pakalpojumu sasniedzamību,</w:t>
            </w:r>
            <w:r>
              <w:rPr>
                <w:sz w:val="20"/>
                <w:szCs w:val="20"/>
              </w:rPr>
              <w:t xml:space="preserve"> un </w:t>
            </w:r>
            <w:r w:rsidR="00847CE1">
              <w:rPr>
                <w:sz w:val="20"/>
                <w:szCs w:val="20"/>
              </w:rPr>
              <w:t xml:space="preserve">ieviest </w:t>
            </w:r>
            <w:r w:rsidR="00840565" w:rsidRPr="00840565">
              <w:rPr>
                <w:sz w:val="20"/>
                <w:szCs w:val="20"/>
              </w:rPr>
              <w:t>videi draudzīgus mobilitātes risinājumus.</w:t>
            </w:r>
          </w:p>
          <w:p w14:paraId="7758643B" w14:textId="77777777" w:rsidR="0054431E" w:rsidRPr="0054431E" w:rsidRDefault="0054431E" w:rsidP="0054431E">
            <w:pPr>
              <w:spacing w:line="259" w:lineRule="auto"/>
              <w:jc w:val="both"/>
              <w:rPr>
                <w:b/>
                <w:bCs/>
                <w:sz w:val="20"/>
                <w:szCs w:val="20"/>
              </w:rPr>
            </w:pPr>
          </w:p>
          <w:p w14:paraId="150A2C2A" w14:textId="77777777" w:rsidR="0054431E" w:rsidRPr="0054431E" w:rsidRDefault="0054431E" w:rsidP="0054431E">
            <w:pPr>
              <w:spacing w:line="259" w:lineRule="auto"/>
              <w:jc w:val="both"/>
              <w:rPr>
                <w:b/>
                <w:bCs/>
                <w:sz w:val="20"/>
                <w:szCs w:val="20"/>
              </w:rPr>
            </w:pPr>
            <w:r w:rsidRPr="0054431E">
              <w:rPr>
                <w:b/>
                <w:bCs/>
                <w:sz w:val="20"/>
                <w:szCs w:val="20"/>
              </w:rPr>
              <w:t>Sasaiste ar politikas plānošanas dokumentiem</w:t>
            </w:r>
          </w:p>
          <w:p w14:paraId="424CFD22" w14:textId="4F97F41E" w:rsidR="0054431E" w:rsidRPr="0054431E" w:rsidRDefault="0054431E" w:rsidP="0054431E">
            <w:pPr>
              <w:numPr>
                <w:ilvl w:val="0"/>
                <w:numId w:val="3"/>
              </w:numPr>
              <w:spacing w:line="259" w:lineRule="auto"/>
              <w:contextualSpacing/>
              <w:jc w:val="both"/>
              <w:rPr>
                <w:sz w:val="20"/>
                <w:szCs w:val="20"/>
              </w:rPr>
            </w:pPr>
            <w:r w:rsidRPr="0054431E">
              <w:rPr>
                <w:sz w:val="20"/>
                <w:szCs w:val="20"/>
              </w:rPr>
              <w:lastRenderedPageBreak/>
              <w:t xml:space="preserve">Saskaņā ar Latvijas stratēģiju </w:t>
            </w:r>
            <w:proofErr w:type="spellStart"/>
            <w:r w:rsidRPr="0054431E">
              <w:rPr>
                <w:sz w:val="20"/>
                <w:szCs w:val="20"/>
              </w:rPr>
              <w:t>klimatneitralitātes</w:t>
            </w:r>
            <w:proofErr w:type="spellEnd"/>
            <w:r w:rsidRPr="0054431E">
              <w:rPr>
                <w:sz w:val="20"/>
                <w:szCs w:val="20"/>
              </w:rPr>
              <w:t xml:space="preserve"> sasniegšanai līdz 2050. gadam v</w:t>
            </w:r>
            <w:r w:rsidRPr="0054431E">
              <w:rPr>
                <w:rFonts w:eastAsia="Times New Roman"/>
                <w:sz w:val="20"/>
                <w:szCs w:val="20"/>
                <w:lang w:eastAsia="lv-LV"/>
              </w:rPr>
              <w:t>isiem transporta veidiem būtu jāveicina mobilitātes sistēmas dekarbonizācija. Mērķis ir līdz 2050.gadam sasniegt nulles emisiju līmeni</w:t>
            </w:r>
            <w:r w:rsidRPr="0054431E">
              <w:rPr>
                <w:sz w:val="20"/>
                <w:szCs w:val="20"/>
              </w:rPr>
              <w:t>.</w:t>
            </w:r>
            <w:r w:rsidR="00656A37">
              <w:t xml:space="preserve"> </w:t>
            </w:r>
            <w:r w:rsidR="00656A37">
              <w:rPr>
                <w:sz w:val="20"/>
                <w:szCs w:val="20"/>
              </w:rPr>
              <w:t>R</w:t>
            </w:r>
            <w:r w:rsidR="00656A37" w:rsidRPr="00656A37">
              <w:rPr>
                <w:sz w:val="20"/>
                <w:szCs w:val="20"/>
              </w:rPr>
              <w:t>isinājumi oglekļa mazietilpīgas attīstības nodrošināšanai</w:t>
            </w:r>
            <w:r w:rsidR="00656A37">
              <w:rPr>
                <w:sz w:val="20"/>
                <w:szCs w:val="20"/>
              </w:rPr>
              <w:t xml:space="preserve"> ietver </w:t>
            </w:r>
            <w:proofErr w:type="spellStart"/>
            <w:r w:rsidR="00656A37">
              <w:rPr>
                <w:sz w:val="20"/>
                <w:szCs w:val="20"/>
              </w:rPr>
              <w:t>r</w:t>
            </w:r>
            <w:r w:rsidR="00656A37" w:rsidRPr="00656A37">
              <w:rPr>
                <w:sz w:val="20"/>
                <w:szCs w:val="20"/>
              </w:rPr>
              <w:t>esursefektīv</w:t>
            </w:r>
            <w:r w:rsidR="00656A37">
              <w:rPr>
                <w:sz w:val="20"/>
                <w:szCs w:val="20"/>
              </w:rPr>
              <w:t>a</w:t>
            </w:r>
            <w:proofErr w:type="spellEnd"/>
            <w:r w:rsidR="00656A37" w:rsidRPr="00656A37">
              <w:rPr>
                <w:sz w:val="20"/>
                <w:szCs w:val="20"/>
              </w:rPr>
              <w:t xml:space="preserve"> un videi draudzīg</w:t>
            </w:r>
            <w:r w:rsidR="00656A37">
              <w:rPr>
                <w:sz w:val="20"/>
                <w:szCs w:val="20"/>
              </w:rPr>
              <w:t>a</w:t>
            </w:r>
            <w:r w:rsidR="00656A37" w:rsidRPr="00656A37">
              <w:rPr>
                <w:sz w:val="20"/>
                <w:szCs w:val="20"/>
              </w:rPr>
              <w:t xml:space="preserve"> transport</w:t>
            </w:r>
            <w:r w:rsidR="00656A37">
              <w:rPr>
                <w:sz w:val="20"/>
                <w:szCs w:val="20"/>
              </w:rPr>
              <w:t>a izmantošanu,</w:t>
            </w:r>
            <w:r w:rsidR="00656A37">
              <w:t xml:space="preserve"> </w:t>
            </w:r>
            <w:r w:rsidR="00656A37" w:rsidRPr="00656A37">
              <w:rPr>
                <w:sz w:val="20"/>
                <w:szCs w:val="20"/>
              </w:rPr>
              <w:t>nodrošinot ātrus, efektīvus un videi draudzīgus pasažieru pārvadājumus.</w:t>
            </w:r>
            <w:r w:rsidRPr="0054431E">
              <w:rPr>
                <w:rFonts w:eastAsia="Times New Roman"/>
                <w:sz w:val="20"/>
                <w:szCs w:val="20"/>
                <w:lang w:eastAsia="lv-LV"/>
              </w:rPr>
              <w:t xml:space="preserve"> </w:t>
            </w:r>
            <w:r w:rsidRPr="0054431E">
              <w:rPr>
                <w:sz w:val="20"/>
                <w:szCs w:val="20"/>
              </w:rPr>
              <w:t xml:space="preserve">Paredzētās darbības tiešā veidā palīdz sasniegt </w:t>
            </w:r>
            <w:proofErr w:type="spellStart"/>
            <w:r w:rsidRPr="0054431E">
              <w:rPr>
                <w:sz w:val="20"/>
                <w:szCs w:val="20"/>
              </w:rPr>
              <w:t>klimatneitralitātes</w:t>
            </w:r>
            <w:proofErr w:type="spellEnd"/>
            <w:r w:rsidRPr="0054431E">
              <w:rPr>
                <w:sz w:val="20"/>
                <w:szCs w:val="20"/>
              </w:rPr>
              <w:t xml:space="preserve"> mērķus.</w:t>
            </w:r>
          </w:p>
          <w:p w14:paraId="1E97CBD5" w14:textId="0D23B8F7" w:rsidR="0054431E" w:rsidRPr="0054431E" w:rsidRDefault="0054431E" w:rsidP="0054431E">
            <w:pPr>
              <w:numPr>
                <w:ilvl w:val="0"/>
                <w:numId w:val="3"/>
              </w:numPr>
              <w:spacing w:line="259" w:lineRule="auto"/>
              <w:contextualSpacing/>
              <w:jc w:val="both"/>
              <w:rPr>
                <w:sz w:val="20"/>
                <w:szCs w:val="20"/>
              </w:rPr>
            </w:pPr>
            <w:r w:rsidRPr="0054431E">
              <w:rPr>
                <w:sz w:val="20"/>
                <w:szCs w:val="20"/>
              </w:rPr>
              <w:t>Latvijas Nacionāl</w:t>
            </w:r>
            <w:r w:rsidR="00847CE1">
              <w:rPr>
                <w:sz w:val="20"/>
                <w:szCs w:val="20"/>
              </w:rPr>
              <w:t>ā</w:t>
            </w:r>
            <w:r w:rsidRPr="0054431E">
              <w:rPr>
                <w:sz w:val="20"/>
                <w:szCs w:val="20"/>
              </w:rPr>
              <w:t xml:space="preserve"> klimata un enerģētikas plāna 2021.–2030.gadam (NEKP) mērķis ir </w:t>
            </w:r>
            <w:r w:rsidRPr="0054431E">
              <w:rPr>
                <w:rFonts w:eastAsia="Times New Roman"/>
                <w:sz w:val="20"/>
                <w:szCs w:val="20"/>
                <w:lang w:eastAsia="lv-LV"/>
              </w:rPr>
              <w:t xml:space="preserve">mazināt Latvijas cilvēku, tautsaimniecības, infrastruktūras, apbūves un dabas ievainojamību pret klimata pārmaiņu ietekmēm un veicināt klimata pārmaiņu radīto iespēju izmantošanu. Plāna ietvaros attiecībā uz transporta sektoru ir noteikts ‘Nodrošināt esošās transporta (autoceļu, dzelzceļa, lidostu, ostu) un elektronisko sakaru infrastruktūras pielāgošanu klimata pārmaiņām’. Paredzēto pasākumu īstenošanā </w:t>
            </w:r>
            <w:r w:rsidRPr="0054431E">
              <w:rPr>
                <w:rFonts w:eastAsia="Calibri"/>
                <w:sz w:val="20"/>
                <w:szCs w:val="20"/>
              </w:rPr>
              <w:t>ir paredzēts ņemt vērā klimata pārmaiņu radītos potenciālos riskus, kā arī novērst to ietekmi</w:t>
            </w:r>
            <w:r w:rsidR="00847CE1">
              <w:rPr>
                <w:rFonts w:eastAsia="Calibri"/>
                <w:sz w:val="20"/>
                <w:szCs w:val="20"/>
              </w:rPr>
              <w:t>.</w:t>
            </w:r>
          </w:p>
          <w:p w14:paraId="407372FC" w14:textId="436D6F85" w:rsidR="0054431E" w:rsidRPr="0054431E" w:rsidRDefault="0054431E" w:rsidP="0054431E">
            <w:pPr>
              <w:numPr>
                <w:ilvl w:val="0"/>
                <w:numId w:val="3"/>
              </w:numPr>
              <w:spacing w:line="259" w:lineRule="auto"/>
              <w:contextualSpacing/>
              <w:jc w:val="both"/>
              <w:rPr>
                <w:sz w:val="20"/>
                <w:szCs w:val="20"/>
              </w:rPr>
            </w:pPr>
            <w:r w:rsidRPr="0054431E">
              <w:rPr>
                <w:sz w:val="20"/>
                <w:szCs w:val="20"/>
              </w:rPr>
              <w:t>Saskaņā ar Gaisa piesārņojuma samazināšanas rīcības plānu 2020.-2030.gadam un tajā noteiktajiem pasākumiem, transporta sektorā ir jāizmanto videi draudzīgi transporta līdzekļi</w:t>
            </w:r>
            <w:r w:rsidR="00EB5025" w:rsidRPr="00EB5025">
              <w:rPr>
                <w:sz w:val="20"/>
                <w:szCs w:val="20"/>
              </w:rPr>
              <w:t>, tai skaitā sabiedriskajā transportā</w:t>
            </w:r>
            <w:r w:rsidR="00EB5025">
              <w:rPr>
                <w:sz w:val="20"/>
                <w:szCs w:val="20"/>
              </w:rPr>
              <w:t>,</w:t>
            </w:r>
            <w:r w:rsidR="00EB5025" w:rsidRPr="00EB5025">
              <w:rPr>
                <w:sz w:val="20"/>
                <w:szCs w:val="20"/>
              </w:rPr>
              <w:t xml:space="preserve"> vienlaikus jāveicina iedzīvotāju paradumu maiņu, izvēloties sabiedrisko transportu, </w:t>
            </w:r>
            <w:proofErr w:type="spellStart"/>
            <w:r w:rsidR="00EB5025" w:rsidRPr="00EB5025">
              <w:rPr>
                <w:sz w:val="20"/>
                <w:szCs w:val="20"/>
              </w:rPr>
              <w:t>mikromobilitātes</w:t>
            </w:r>
            <w:proofErr w:type="spellEnd"/>
            <w:r w:rsidR="00EB5025" w:rsidRPr="00EB5025">
              <w:rPr>
                <w:sz w:val="20"/>
                <w:szCs w:val="20"/>
              </w:rPr>
              <w:t xml:space="preserve"> rīku vai pārvietoties kājām</w:t>
            </w:r>
            <w:r w:rsidRPr="0054431E">
              <w:rPr>
                <w:sz w:val="20"/>
                <w:szCs w:val="20"/>
              </w:rPr>
              <w:t xml:space="preserve">. Ieguldījumi tiešā veidā sniedz ieguldījumu plāna mērķu sasniegšanā. </w:t>
            </w:r>
          </w:p>
          <w:p w14:paraId="280F07C3" w14:textId="77777777" w:rsidR="0054431E" w:rsidRPr="0054431E" w:rsidRDefault="0054431E" w:rsidP="0054431E">
            <w:pPr>
              <w:spacing w:line="259" w:lineRule="auto"/>
              <w:rPr>
                <w:rFonts w:eastAsiaTheme="minorEastAsia"/>
                <w:sz w:val="20"/>
                <w:szCs w:val="20"/>
              </w:rPr>
            </w:pPr>
          </w:p>
        </w:tc>
      </w:tr>
      <w:tr w:rsidR="0054431E" w:rsidRPr="0054431E" w14:paraId="5B685B93" w14:textId="77777777" w:rsidTr="0054431E">
        <w:trPr>
          <w:trHeight w:val="27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B52820E"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lastRenderedPageBreak/>
              <w:t>Pielāgošanas klimata pārmaiņām</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754498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7966071" w14:textId="7777777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EFEAE10"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5C2BFFF4" w14:textId="77777777" w:rsidTr="0054431E">
        <w:trPr>
          <w:trHeight w:val="382"/>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D8E0658"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Ūdens un jūras resursu ilgtspējīga izmantošana un aizsardzība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C96460B" w14:textId="77777777" w:rsidR="0054431E" w:rsidRPr="0054431E"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09F94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75ADC8A0" w14:textId="77777777" w:rsidR="0054431E" w:rsidRPr="0054431E" w:rsidRDefault="0054431E" w:rsidP="0054431E">
            <w:pPr>
              <w:spacing w:line="240" w:lineRule="auto"/>
              <w:jc w:val="both"/>
              <w:rPr>
                <w:sz w:val="20"/>
                <w:szCs w:val="20"/>
              </w:rPr>
            </w:pPr>
            <w:r w:rsidRPr="0054431E">
              <w:rPr>
                <w:sz w:val="20"/>
                <w:szCs w:val="20"/>
              </w:rPr>
              <w:t xml:space="preserve">Pasākumam nav paredzama ietekme uz vides mērķi un tas </w:t>
            </w:r>
            <w:r w:rsidRPr="0054431E">
              <w:rPr>
                <w:rFonts w:eastAsiaTheme="minorEastAsia"/>
                <w:sz w:val="20"/>
                <w:szCs w:val="20"/>
              </w:rPr>
              <w:t xml:space="preserve">neradīs būtisku kaitējumu ilgtspējīgai ūdens un jūras resursu izmantošanai un aizsardzībai, nekaitēs ūdensobjektu </w:t>
            </w:r>
            <w:r w:rsidRPr="0054431E">
              <w:rPr>
                <w:sz w:val="20"/>
                <w:szCs w:val="20"/>
              </w:rPr>
              <w:t>labam stāvoklim vai to labam ekoloģiskajam potenciālam, ieskaitot virszemes ūdeņus un gruntsūdeņus, kā arī neradīs kaitējumu jūras ūdeņu labam vides stāvoklim.</w:t>
            </w:r>
          </w:p>
          <w:p w14:paraId="26F6912C" w14:textId="77777777" w:rsidR="0054431E" w:rsidRPr="0054431E" w:rsidRDefault="0054431E" w:rsidP="0054431E">
            <w:pPr>
              <w:spacing w:line="240" w:lineRule="auto"/>
              <w:jc w:val="both"/>
              <w:rPr>
                <w:sz w:val="20"/>
                <w:szCs w:val="20"/>
              </w:rPr>
            </w:pPr>
          </w:p>
        </w:tc>
      </w:tr>
      <w:tr w:rsidR="0054431E" w:rsidRPr="0054431E" w14:paraId="6E579C65" w14:textId="77777777" w:rsidTr="0054431E">
        <w:trPr>
          <w:trHeight w:val="38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F070B9C"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Aprites ekonomika, tostarp atkritumu rašanās novēršana un pārstrāde</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C551C96" w14:textId="77777777" w:rsidR="0054431E" w:rsidRPr="0054431E"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8369A2F"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1C5C1F0" w14:textId="24D41D05" w:rsidR="0054431E" w:rsidRPr="0054431E" w:rsidRDefault="0054431E" w:rsidP="0054431E">
            <w:pPr>
              <w:spacing w:line="240" w:lineRule="auto"/>
              <w:jc w:val="both"/>
              <w:rPr>
                <w:rFonts w:eastAsia="Times New Roman"/>
                <w:sz w:val="20"/>
                <w:szCs w:val="20"/>
                <w:lang w:eastAsia="lv-LV"/>
              </w:rPr>
            </w:pPr>
          </w:p>
          <w:p w14:paraId="17673B38" w14:textId="77777777" w:rsidR="0054431E" w:rsidRPr="0054431E" w:rsidRDefault="0054431E" w:rsidP="0054431E">
            <w:pPr>
              <w:spacing w:line="240" w:lineRule="auto"/>
              <w:jc w:val="both"/>
              <w:rPr>
                <w:rFonts w:eastAsia="Times New Roman"/>
                <w:sz w:val="20"/>
                <w:szCs w:val="20"/>
                <w:lang w:eastAsia="lv-LV"/>
              </w:rPr>
            </w:pPr>
            <w:r w:rsidRPr="0054431E">
              <w:rPr>
                <w:sz w:val="20"/>
                <w:szCs w:val="20"/>
              </w:rPr>
              <w:t>Atkritumu rašanās būvniecības laikā tiks ierobežota saskaņā ar ES būvniecības un nojaukšanas atkritumu apsaimniekošanas protokolu un tiks veicināta atkārtota materiālu izmantošana un augstas kvalitātes pārstrāde, piemērojot materiālu atlasi, izmantojot labākās pieejamās būvgružiem paredzētās šķirošanas sistēmas.</w:t>
            </w:r>
          </w:p>
        </w:tc>
      </w:tr>
      <w:tr w:rsidR="0054431E" w:rsidRPr="0054431E" w14:paraId="12872926" w14:textId="77777777" w:rsidTr="0054431E">
        <w:trPr>
          <w:trHeight w:val="38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217D2B7"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Piesārņojuma novēršana un to kontrole gaisā, ūdenī vai zemē</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6FB926B" w14:textId="77777777" w:rsidR="0054431E" w:rsidRPr="0054431E"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2CE7D8"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31C6FC32" w14:textId="77777777" w:rsidR="0054431E" w:rsidRPr="0054431E" w:rsidRDefault="0054431E" w:rsidP="0054431E">
            <w:pPr>
              <w:spacing w:line="240" w:lineRule="auto"/>
              <w:jc w:val="both"/>
              <w:rPr>
                <w:bCs/>
                <w:sz w:val="20"/>
                <w:szCs w:val="20"/>
              </w:rPr>
            </w:pPr>
          </w:p>
          <w:p w14:paraId="43078507" w14:textId="4D0ECF03" w:rsidR="0054431E" w:rsidRPr="0054431E" w:rsidRDefault="0054431E" w:rsidP="00840565">
            <w:pPr>
              <w:spacing w:line="240" w:lineRule="auto"/>
              <w:jc w:val="both"/>
              <w:rPr>
                <w:rFonts w:eastAsia="Times New Roman"/>
                <w:sz w:val="20"/>
                <w:szCs w:val="20"/>
                <w:lang w:eastAsia="lv-LV"/>
              </w:rPr>
            </w:pPr>
            <w:r w:rsidRPr="00847CE1">
              <w:rPr>
                <w:sz w:val="20"/>
                <w:szCs w:val="20"/>
              </w:rPr>
              <w:t>Plānotie īstenotie projekti ne tikai sniegs ieguldījumu klimata politikas mērķu izpildei, samazinot CO</w:t>
            </w:r>
            <w:r w:rsidRPr="00847CE1">
              <w:rPr>
                <w:sz w:val="20"/>
                <w:szCs w:val="20"/>
                <w:vertAlign w:val="subscript"/>
              </w:rPr>
              <w:t>2</w:t>
            </w:r>
            <w:r w:rsidRPr="00847CE1">
              <w:rPr>
                <w:sz w:val="20"/>
                <w:szCs w:val="20"/>
              </w:rPr>
              <w:t xml:space="preserve"> emisijas, bet sniegs arī devumu gaisa piesārņojuma samazināšanai. </w:t>
            </w:r>
          </w:p>
        </w:tc>
      </w:tr>
      <w:tr w:rsidR="0054431E" w:rsidRPr="0054431E" w14:paraId="5C8A7378" w14:textId="77777777" w:rsidTr="0054431E">
        <w:trPr>
          <w:trHeight w:val="386"/>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64254D8"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Bioloģiskās daudzveidības un ekosistēmu aizsardzība un atjaunošana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9BDCB99" w14:textId="77777777" w:rsidR="0054431E" w:rsidRPr="0054431E"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13859FE"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1BEC8A83" w14:textId="4C2895BC" w:rsidR="0054431E" w:rsidRPr="0054431E" w:rsidRDefault="0054431E" w:rsidP="00847CE1">
            <w:pPr>
              <w:spacing w:line="240" w:lineRule="auto"/>
              <w:jc w:val="both"/>
              <w:rPr>
                <w:rFonts w:eastAsia="Times New Roman"/>
                <w:sz w:val="20"/>
                <w:szCs w:val="20"/>
                <w:lang w:eastAsia="lv-LV"/>
              </w:rPr>
            </w:pPr>
            <w:r w:rsidRPr="0054431E">
              <w:rPr>
                <w:sz w:val="20"/>
                <w:szCs w:val="20"/>
              </w:rPr>
              <w:t>Pasākuma paredzamā ietekme uz</w:t>
            </w:r>
            <w:r w:rsidRPr="0054431E">
              <w:rPr>
                <w:rFonts w:eastAsia="Times New Roman"/>
                <w:sz w:val="20"/>
                <w:szCs w:val="20"/>
                <w:lang w:eastAsia="lv-LV"/>
              </w:rPr>
              <w:t xml:space="preserve"> bioloģiskās daudzveidības un ekosistēmu aizsardzību ir nebūtiska</w:t>
            </w:r>
            <w:r w:rsidR="00847CE1">
              <w:rPr>
                <w:rFonts w:eastAsia="Times New Roman"/>
                <w:sz w:val="20"/>
                <w:szCs w:val="20"/>
                <w:lang w:eastAsia="lv-LV"/>
              </w:rPr>
              <w:t xml:space="preserve"> </w:t>
            </w:r>
            <w:r w:rsidRPr="0054431E">
              <w:rPr>
                <w:rFonts w:eastAsia="Times New Roman"/>
                <w:sz w:val="20"/>
                <w:szCs w:val="20"/>
                <w:lang w:eastAsia="lv-LV"/>
              </w:rPr>
              <w:t>un aktivitātes nepieprasa padziļinātu pasākuma novērtējumu no NBK viedokļa. Plānotās investīcijas neparedz tiešu ietekmi uz ES nozīmes sugām un biotopiem un to aizsardzības stāvokli.</w:t>
            </w:r>
          </w:p>
        </w:tc>
      </w:tr>
      <w:tr w:rsidR="0054431E" w:rsidRPr="0054431E" w14:paraId="0A07717F" w14:textId="77777777" w:rsidTr="0054431E">
        <w:trPr>
          <w:trHeight w:val="300"/>
        </w:trPr>
        <w:tc>
          <w:tcPr>
            <w:tcW w:w="3408" w:type="dxa"/>
            <w:gridSpan w:val="2"/>
            <w:shd w:val="clear" w:color="auto" w:fill="auto"/>
            <w:noWrap/>
            <w:tcMar>
              <w:top w:w="15" w:type="dxa"/>
              <w:left w:w="108" w:type="dxa"/>
              <w:bottom w:w="15" w:type="dxa"/>
              <w:right w:w="108" w:type="dxa"/>
            </w:tcMar>
            <w:vAlign w:val="bottom"/>
          </w:tcPr>
          <w:p w14:paraId="467C9F0E" w14:textId="3D0B7671" w:rsidR="0054431E" w:rsidRDefault="0054431E" w:rsidP="0054431E">
            <w:pPr>
              <w:spacing w:line="240" w:lineRule="auto"/>
              <w:rPr>
                <w:rFonts w:eastAsia="Times New Roman"/>
                <w:b/>
                <w:bCs/>
                <w:sz w:val="20"/>
                <w:szCs w:val="20"/>
                <w:lang w:eastAsia="lv-LV"/>
              </w:rPr>
            </w:pPr>
          </w:p>
          <w:p w14:paraId="35EEBB78"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2. daļa</w:t>
            </w:r>
          </w:p>
        </w:tc>
        <w:tc>
          <w:tcPr>
            <w:tcW w:w="709" w:type="dxa"/>
            <w:gridSpan w:val="2"/>
            <w:shd w:val="clear" w:color="auto" w:fill="auto"/>
            <w:noWrap/>
            <w:tcMar>
              <w:top w:w="15" w:type="dxa"/>
              <w:left w:w="108" w:type="dxa"/>
              <w:bottom w:w="15" w:type="dxa"/>
              <w:right w:w="108" w:type="dxa"/>
            </w:tcMar>
            <w:vAlign w:val="bottom"/>
          </w:tcPr>
          <w:p w14:paraId="229ACD34" w14:textId="77777777" w:rsidR="0054431E" w:rsidRPr="0054431E" w:rsidRDefault="0054431E" w:rsidP="0054431E">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27BEF8DE" w14:textId="77777777" w:rsidR="0054431E" w:rsidRPr="0054431E" w:rsidRDefault="0054431E" w:rsidP="0054431E">
            <w:pPr>
              <w:spacing w:line="240" w:lineRule="auto"/>
              <w:rPr>
                <w:rFonts w:eastAsia="Times New Roman"/>
                <w:sz w:val="20"/>
                <w:szCs w:val="20"/>
                <w:lang w:eastAsia="lv-LV"/>
              </w:rPr>
            </w:pPr>
          </w:p>
        </w:tc>
        <w:tc>
          <w:tcPr>
            <w:tcW w:w="5948" w:type="dxa"/>
            <w:shd w:val="clear" w:color="auto" w:fill="auto"/>
            <w:noWrap/>
            <w:tcMar>
              <w:top w:w="15" w:type="dxa"/>
              <w:left w:w="108" w:type="dxa"/>
              <w:bottom w:w="15" w:type="dxa"/>
              <w:right w:w="108" w:type="dxa"/>
            </w:tcMar>
            <w:vAlign w:val="bottom"/>
          </w:tcPr>
          <w:p w14:paraId="645E203B" w14:textId="77777777" w:rsidR="0054431E" w:rsidRPr="0054431E" w:rsidRDefault="0054431E" w:rsidP="0054431E">
            <w:pPr>
              <w:spacing w:line="240" w:lineRule="auto"/>
              <w:rPr>
                <w:rFonts w:eastAsia="Times New Roman"/>
                <w:sz w:val="20"/>
                <w:szCs w:val="20"/>
                <w:lang w:eastAsia="lv-LV"/>
              </w:rPr>
            </w:pPr>
          </w:p>
        </w:tc>
      </w:tr>
      <w:tr w:rsidR="0054431E" w:rsidRPr="0054431E" w14:paraId="3FEA9384" w14:textId="77777777" w:rsidTr="0054431E">
        <w:trPr>
          <w:trHeight w:val="30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5A99C47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Jautājums </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5813E7D2"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0EB13929"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Detalizēts izvērtējums </w:t>
            </w:r>
          </w:p>
        </w:tc>
      </w:tr>
      <w:tr w:rsidR="0054431E" w:rsidRPr="0054431E" w14:paraId="2FA60849" w14:textId="77777777" w:rsidTr="0054431E">
        <w:trPr>
          <w:trHeight w:val="90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529FC95"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t xml:space="preserve">Klimata pārmaiņu mazināšana. </w:t>
            </w:r>
            <w:r w:rsidRPr="0054431E">
              <w:rPr>
                <w:rFonts w:eastAsia="Times New Roman"/>
                <w:sz w:val="20"/>
                <w:szCs w:val="20"/>
                <w:lang w:eastAsia="lv-LV"/>
              </w:rPr>
              <w:t>Vai paredzams, ka pasākums radīs ievērojamas SEG emisijas?</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6CB9A7F" w14:textId="77777777" w:rsidR="0054431E" w:rsidRPr="0054431E"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5BF2E715"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1.daļu.</w:t>
            </w:r>
          </w:p>
          <w:p w14:paraId="1097EE84" w14:textId="77777777" w:rsidR="0054431E" w:rsidRPr="0054431E" w:rsidRDefault="0054431E" w:rsidP="0054431E">
            <w:pPr>
              <w:spacing w:line="240" w:lineRule="auto"/>
              <w:rPr>
                <w:sz w:val="20"/>
                <w:szCs w:val="20"/>
                <w:lang w:eastAsia="lv-LV"/>
              </w:rPr>
            </w:pPr>
          </w:p>
        </w:tc>
      </w:tr>
      <w:tr w:rsidR="0054431E" w:rsidRPr="0054431E" w14:paraId="191EB261" w14:textId="77777777" w:rsidTr="0054431E">
        <w:trPr>
          <w:trHeight w:val="168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F989331"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lastRenderedPageBreak/>
              <w:t xml:space="preserve">Pielāgošanās klimata pārmaiņām. </w:t>
            </w:r>
            <w:r w:rsidRPr="0054431E">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6B537AE4"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C9E7097" w14:textId="3F7F733C" w:rsidR="0054431E" w:rsidRPr="0054431E" w:rsidRDefault="00847CE1" w:rsidP="0054431E">
            <w:pPr>
              <w:spacing w:line="240" w:lineRule="auto"/>
              <w:jc w:val="both"/>
              <w:rPr>
                <w:rFonts w:eastAsia="Times New Roman"/>
                <w:sz w:val="20"/>
                <w:szCs w:val="20"/>
                <w:lang w:eastAsia="lv-LV"/>
              </w:rPr>
            </w:pPr>
            <w:proofErr w:type="spellStart"/>
            <w:r>
              <w:rPr>
                <w:rFonts w:eastAsia="Times New Roman"/>
                <w:sz w:val="20"/>
                <w:szCs w:val="20"/>
                <w:lang w:eastAsia="lv-LV"/>
              </w:rPr>
              <w:t>B</w:t>
            </w:r>
            <w:r w:rsidR="0054431E" w:rsidRPr="0054431E">
              <w:rPr>
                <w:rFonts w:eastAsia="Times New Roman"/>
                <w:sz w:val="20"/>
                <w:szCs w:val="20"/>
                <w:lang w:eastAsia="lv-LV"/>
              </w:rPr>
              <w:t>ezemisiju</w:t>
            </w:r>
            <w:proofErr w:type="spellEnd"/>
            <w:r w:rsidR="0054431E" w:rsidRPr="0054431E">
              <w:rPr>
                <w:rFonts w:eastAsia="Times New Roman"/>
                <w:sz w:val="20"/>
                <w:szCs w:val="20"/>
                <w:lang w:eastAsia="lv-LV"/>
              </w:rPr>
              <w:t xml:space="preserve"> </w:t>
            </w:r>
            <w:r w:rsidR="005832F8">
              <w:rPr>
                <w:rFonts w:eastAsia="Times New Roman"/>
                <w:sz w:val="20"/>
                <w:szCs w:val="20"/>
                <w:lang w:eastAsia="lv-LV"/>
              </w:rPr>
              <w:t>vilcienu</w:t>
            </w:r>
            <w:r w:rsidR="00CC1609" w:rsidRPr="0054431E">
              <w:rPr>
                <w:rFonts w:eastAsia="Times New Roman"/>
                <w:sz w:val="20"/>
                <w:szCs w:val="20"/>
                <w:lang w:eastAsia="lv-LV"/>
              </w:rPr>
              <w:t xml:space="preserve"> </w:t>
            </w:r>
            <w:r w:rsidR="00BD19F5">
              <w:rPr>
                <w:rFonts w:eastAsia="Times New Roman"/>
                <w:sz w:val="20"/>
                <w:szCs w:val="20"/>
                <w:lang w:eastAsia="lv-LV"/>
              </w:rPr>
              <w:t>uzlādes</w:t>
            </w:r>
            <w:r w:rsidR="0054431E" w:rsidRPr="0054431E">
              <w:rPr>
                <w:rFonts w:eastAsia="Times New Roman"/>
                <w:sz w:val="20"/>
                <w:szCs w:val="20"/>
                <w:lang w:eastAsia="lv-LV"/>
              </w:rPr>
              <w:t xml:space="preserve"> infrastruktūras izveide</w:t>
            </w:r>
            <w:r w:rsidR="00EB5025">
              <w:rPr>
                <w:rFonts w:eastAsia="Times New Roman"/>
                <w:sz w:val="20"/>
                <w:szCs w:val="20"/>
                <w:lang w:eastAsia="lv-LV"/>
              </w:rPr>
              <w:t xml:space="preserve"> un </w:t>
            </w:r>
            <w:proofErr w:type="spellStart"/>
            <w:r w:rsidR="00EB5025">
              <w:rPr>
                <w:rFonts w:eastAsia="Times New Roman"/>
                <w:sz w:val="20"/>
                <w:szCs w:val="20"/>
                <w:lang w:eastAsia="lv-LV"/>
              </w:rPr>
              <w:t>bezemisiju</w:t>
            </w:r>
            <w:proofErr w:type="spellEnd"/>
            <w:r w:rsidR="00EB5025">
              <w:rPr>
                <w:rFonts w:eastAsia="Times New Roman"/>
                <w:sz w:val="20"/>
                <w:szCs w:val="20"/>
                <w:lang w:eastAsia="lv-LV"/>
              </w:rPr>
              <w:t xml:space="preserve"> </w:t>
            </w:r>
            <w:r w:rsidR="005832F8">
              <w:rPr>
                <w:rFonts w:eastAsia="Times New Roman"/>
                <w:sz w:val="20"/>
                <w:szCs w:val="20"/>
                <w:lang w:eastAsia="lv-LV"/>
              </w:rPr>
              <w:t>vilcienu</w:t>
            </w:r>
            <w:r w:rsidR="00CC1609">
              <w:rPr>
                <w:rFonts w:eastAsia="Times New Roman"/>
                <w:sz w:val="20"/>
                <w:szCs w:val="20"/>
                <w:lang w:eastAsia="lv-LV"/>
              </w:rPr>
              <w:t xml:space="preserve"> </w:t>
            </w:r>
            <w:r w:rsidR="00EB5025">
              <w:rPr>
                <w:rFonts w:eastAsia="Times New Roman"/>
                <w:sz w:val="20"/>
                <w:szCs w:val="20"/>
                <w:lang w:eastAsia="lv-LV"/>
              </w:rPr>
              <w:t>iegāde</w:t>
            </w:r>
            <w:r w:rsidR="0054431E" w:rsidRPr="0054431E">
              <w:rPr>
                <w:rFonts w:eastAsia="Times New Roman"/>
                <w:sz w:val="20"/>
                <w:szCs w:val="20"/>
                <w:lang w:eastAsia="lv-LV"/>
              </w:rPr>
              <w:t xml:space="preserve"> </w:t>
            </w:r>
            <w:r w:rsidR="0054431E" w:rsidRPr="00483379">
              <w:rPr>
                <w:rFonts w:eastAsia="Calibri"/>
                <w:sz w:val="20"/>
                <w:szCs w:val="20"/>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0054431E" w:rsidRPr="00847CE1">
              <w:rPr>
                <w:rFonts w:eastAsia="Calibri"/>
                <w:sz w:val="20"/>
                <w:szCs w:val="20"/>
              </w:rPr>
              <w:t>,</w:t>
            </w:r>
            <w:r w:rsidR="0054431E" w:rsidRPr="0054431E">
              <w:rPr>
                <w:rFonts w:eastAsia="Calibri"/>
                <w:sz w:val="20"/>
                <w:szCs w:val="20"/>
              </w:rPr>
              <w:t xml:space="preserve"> jo pasākumu īstenošanā ir paredzēts ņemt vērā klimata pārmaiņu radītos potenciālos riskus, kā arī novērst to ietekmi.</w:t>
            </w:r>
          </w:p>
          <w:p w14:paraId="1DDB02FA" w14:textId="77777777" w:rsidR="00B32AD8" w:rsidRDefault="00B32AD8" w:rsidP="0054431E">
            <w:pPr>
              <w:spacing w:line="240" w:lineRule="auto"/>
              <w:jc w:val="both"/>
              <w:rPr>
                <w:rFonts w:eastAsia="Times New Roman"/>
                <w:sz w:val="20"/>
                <w:szCs w:val="20"/>
                <w:lang w:eastAsia="lv-LV"/>
              </w:rPr>
            </w:pPr>
          </w:p>
          <w:p w14:paraId="5DD60475" w14:textId="77777777" w:rsidR="00B32AD8" w:rsidRPr="0054431E" w:rsidRDefault="00B32AD8" w:rsidP="00B32AD8">
            <w:pPr>
              <w:spacing w:line="240" w:lineRule="auto"/>
              <w:jc w:val="both"/>
              <w:rPr>
                <w:rFonts w:eastAsia="Times New Roman"/>
                <w:sz w:val="20"/>
                <w:szCs w:val="20"/>
                <w:lang w:eastAsia="lv-LV"/>
              </w:rPr>
            </w:pPr>
            <w:r w:rsidRPr="004E1B1A">
              <w:rPr>
                <w:rFonts w:eastAsia="Calibri"/>
                <w:sz w:val="20"/>
                <w:szCs w:val="20"/>
              </w:rPr>
              <w:t>Atsevišķs klimata risku un ievainojamības novērtējums par šo aktivitāti nav veikts. Analīze balstīta uz risku novērtējumiem, kas ir veikti par Latviju kopumā.</w:t>
            </w:r>
          </w:p>
          <w:p w14:paraId="7675D943" w14:textId="77777777" w:rsidR="00B32AD8" w:rsidRPr="0054431E" w:rsidRDefault="00B32AD8" w:rsidP="00B32AD8">
            <w:pPr>
              <w:spacing w:line="240" w:lineRule="auto"/>
              <w:jc w:val="both"/>
              <w:rPr>
                <w:rFonts w:eastAsia="Times New Roman"/>
                <w:sz w:val="20"/>
                <w:szCs w:val="20"/>
                <w:lang w:eastAsia="lv-LV"/>
              </w:rPr>
            </w:pPr>
            <w:r w:rsidRPr="0054431E">
              <w:rPr>
                <w:rFonts w:eastAsia="Times New Roman"/>
                <w:sz w:val="20"/>
                <w:szCs w:val="20"/>
                <w:lang w:eastAsia="lv-LV"/>
              </w:rPr>
              <w:t xml:space="preserve"> </w:t>
            </w:r>
          </w:p>
          <w:p w14:paraId="221CDA99" w14:textId="77777777" w:rsidR="00B32AD8" w:rsidRDefault="00B32AD8" w:rsidP="00B32AD8">
            <w:pPr>
              <w:pStyle w:val="NormalWeb"/>
              <w:shd w:val="clear" w:color="auto" w:fill="FFFFFF"/>
              <w:spacing w:before="0" w:beforeAutospacing="0" w:after="0" w:afterAutospacing="0"/>
              <w:jc w:val="both"/>
              <w:rPr>
                <w:sz w:val="20"/>
                <w:szCs w:val="20"/>
              </w:rPr>
            </w:pPr>
            <w:r w:rsidRPr="004E1B1A">
              <w:rPr>
                <w:rFonts w:eastAsia="Calibri"/>
                <w:b/>
                <w:bCs/>
                <w:sz w:val="20"/>
                <w:szCs w:val="20"/>
              </w:rPr>
              <w:t>Klimata pārmaiņu izpausmes, kas ietekmē paredzētās aktivitātes jomu</w:t>
            </w:r>
          </w:p>
          <w:p w14:paraId="6552431F" w14:textId="7A36A814"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 xml:space="preserve"> </w:t>
            </w:r>
          </w:p>
          <w:p w14:paraId="29AF2BB4" w14:textId="77777777" w:rsidR="00B32AD8" w:rsidRDefault="00B32AD8" w:rsidP="0054431E">
            <w:pPr>
              <w:shd w:val="clear" w:color="auto" w:fill="FFFFFF"/>
              <w:spacing w:line="240" w:lineRule="auto"/>
              <w:jc w:val="both"/>
              <w:rPr>
                <w:rFonts w:eastAsia="Times New Roman"/>
                <w:sz w:val="20"/>
                <w:szCs w:val="20"/>
                <w:lang w:eastAsia="lv-LV"/>
              </w:rPr>
            </w:pPr>
          </w:p>
          <w:p w14:paraId="1FE5D641" w14:textId="027DA853" w:rsidR="0054431E" w:rsidRPr="0054431E" w:rsidRDefault="0054431E" w:rsidP="0054431E">
            <w:pPr>
              <w:shd w:val="clear" w:color="auto" w:fill="FFFFFF"/>
              <w:spacing w:line="240" w:lineRule="auto"/>
              <w:jc w:val="both"/>
              <w:rPr>
                <w:rFonts w:eastAsia="Times New Roman"/>
                <w:sz w:val="20"/>
                <w:szCs w:val="20"/>
                <w:lang w:eastAsia="lv-LV"/>
              </w:rPr>
            </w:pPr>
            <w:r w:rsidRPr="0054431E">
              <w:rPr>
                <w:rFonts w:eastAsia="Times New Roman"/>
                <w:sz w:val="20"/>
                <w:szCs w:val="20"/>
                <w:lang w:eastAsia="lv-LV"/>
              </w:rPr>
              <w:t>Latvijā transporta infrastruktūrai plānošanai ir būtiskas vairākas klimata pārmaiņu izpausmes (tai skaitā ekstrēmi)</w:t>
            </w:r>
            <w:r w:rsidRPr="0054431E">
              <w:rPr>
                <w:rFonts w:eastAsia="Times New Roman"/>
                <w:vertAlign w:val="superscript"/>
                <w:lang w:eastAsia="lv-LV"/>
              </w:rPr>
              <w:footnoteReference w:id="1"/>
            </w:r>
            <w:r w:rsidRPr="0054431E">
              <w:rPr>
                <w:rFonts w:eastAsia="Times New Roman"/>
                <w:sz w:val="20"/>
                <w:szCs w:val="20"/>
                <w:lang w:eastAsia="lv-LV"/>
              </w:rPr>
              <w:t>:</w:t>
            </w:r>
          </w:p>
          <w:p w14:paraId="4F5934DC"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gada vidējās gaisa temperatūras paaugstināšanās, karstuma viļņu biežuma un ilguma pieaugums, meteoroloģiskās vasaras pagarināšanās, diennakts maksimālās temperatūras maksimālās vērtības paaugstināšanās;</w:t>
            </w:r>
          </w:p>
          <w:p w14:paraId="2C4DAD12"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sala dienu un dienu skaita bez atkušņa samazināšanās;</w:t>
            </w:r>
          </w:p>
          <w:p w14:paraId="3AF55A84"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719E3EA9"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vidējā jūras ūdens līmeņa celšanās ilgtermiņā un krasta erozija attīstība, kā arī gruntsūdeņa līmeņa svārstības, ko ietekmē nokrišņu un jūras ūdens līmeņa izmaiņas, un upju noteces režīma izmaiņas.</w:t>
            </w:r>
          </w:p>
          <w:p w14:paraId="0EC9CC11" w14:textId="77777777" w:rsidR="00EB5025" w:rsidRPr="0054431E" w:rsidRDefault="00EB5025" w:rsidP="0054431E">
            <w:pPr>
              <w:spacing w:line="240" w:lineRule="auto"/>
              <w:jc w:val="both"/>
              <w:rPr>
                <w:rFonts w:eastAsiaTheme="minorEastAsia"/>
                <w:sz w:val="20"/>
                <w:szCs w:val="20"/>
              </w:rPr>
            </w:pPr>
          </w:p>
          <w:p w14:paraId="70E59117" w14:textId="77777777" w:rsidR="0054431E" w:rsidRDefault="0054431E" w:rsidP="0054431E">
            <w:pPr>
              <w:spacing w:line="240" w:lineRule="auto"/>
              <w:jc w:val="both"/>
              <w:rPr>
                <w:rFonts w:eastAsia="Calibri"/>
                <w:sz w:val="20"/>
                <w:szCs w:val="20"/>
              </w:rPr>
            </w:pPr>
            <w:r w:rsidRPr="0054431E">
              <w:rPr>
                <w:rFonts w:eastAsia="Calibri"/>
                <w:b/>
                <w:bCs/>
                <w:sz w:val="20"/>
                <w:szCs w:val="20"/>
              </w:rPr>
              <w:t xml:space="preserve">Risku novērtējumos konstatētie klimata pārmaiņu radītie riski </w:t>
            </w:r>
            <w:r w:rsidRPr="0054431E">
              <w:rPr>
                <w:rFonts w:eastAsia="Calibri"/>
                <w:sz w:val="20"/>
                <w:szCs w:val="20"/>
              </w:rPr>
              <w:t xml:space="preserve"> un to iespējamās sekas:</w:t>
            </w:r>
          </w:p>
          <w:tbl>
            <w:tblPr>
              <w:tblStyle w:val="TableGrid"/>
              <w:tblW w:w="0" w:type="auto"/>
              <w:tblInd w:w="0" w:type="dxa"/>
              <w:tblLook w:val="04A0" w:firstRow="1" w:lastRow="0" w:firstColumn="1" w:lastColumn="0" w:noHBand="0" w:noVBand="1"/>
            </w:tblPr>
            <w:tblGrid>
              <w:gridCol w:w="1444"/>
              <w:gridCol w:w="2268"/>
              <w:gridCol w:w="2724"/>
            </w:tblGrid>
            <w:tr w:rsidR="00AF6E68" w14:paraId="6820CD44" w14:textId="77777777" w:rsidTr="00962149">
              <w:tc>
                <w:tcPr>
                  <w:tcW w:w="1444" w:type="dxa"/>
                  <w:vMerge w:val="restart"/>
                </w:tcPr>
                <w:p w14:paraId="4E8258F9" w14:textId="50656D4B" w:rsidR="00AF6E68" w:rsidRDefault="00AF6E68" w:rsidP="0054431E">
                  <w:pPr>
                    <w:spacing w:line="240" w:lineRule="auto"/>
                    <w:jc w:val="both"/>
                    <w:rPr>
                      <w:rFonts w:eastAsia="Calibri"/>
                      <w:sz w:val="20"/>
                      <w:szCs w:val="20"/>
                    </w:rPr>
                  </w:pPr>
                  <w:proofErr w:type="spellStart"/>
                  <w:r>
                    <w:rPr>
                      <w:sz w:val="20"/>
                      <w:szCs w:val="20"/>
                    </w:rPr>
                    <w:t>Bezemisiju</w:t>
                  </w:r>
                  <w:proofErr w:type="spellEnd"/>
                  <w:r>
                    <w:rPr>
                      <w:sz w:val="20"/>
                      <w:szCs w:val="20"/>
                    </w:rPr>
                    <w:t xml:space="preserve"> vilcieni un to u</w:t>
                  </w:r>
                  <w:r w:rsidRPr="00B32AD8">
                    <w:rPr>
                      <w:sz w:val="20"/>
                      <w:szCs w:val="20"/>
                    </w:rPr>
                    <w:t>zlādes infrastruktūra</w:t>
                  </w:r>
                </w:p>
              </w:tc>
              <w:tc>
                <w:tcPr>
                  <w:tcW w:w="2268" w:type="dxa"/>
                </w:tcPr>
                <w:p w14:paraId="799C2F8E" w14:textId="36E59EC6" w:rsidR="00AF6E68" w:rsidRDefault="00AF6E68" w:rsidP="0054431E">
                  <w:pPr>
                    <w:spacing w:line="240" w:lineRule="auto"/>
                    <w:jc w:val="both"/>
                    <w:rPr>
                      <w:rFonts w:eastAsia="Calibri"/>
                      <w:sz w:val="20"/>
                      <w:szCs w:val="20"/>
                    </w:rPr>
                  </w:pPr>
                  <w:r>
                    <w:rPr>
                      <w:rFonts w:eastAsia="Calibri"/>
                      <w:sz w:val="20"/>
                      <w:szCs w:val="20"/>
                    </w:rPr>
                    <w:t>Augsts gaisa spiediens</w:t>
                  </w:r>
                </w:p>
              </w:tc>
              <w:tc>
                <w:tcPr>
                  <w:tcW w:w="2724" w:type="dxa"/>
                </w:tcPr>
                <w:p w14:paraId="77D95863" w14:textId="755DDC8D" w:rsidR="00AF6E68" w:rsidRDefault="00AF6E68" w:rsidP="0054431E">
                  <w:pPr>
                    <w:spacing w:line="240" w:lineRule="auto"/>
                    <w:jc w:val="both"/>
                    <w:rPr>
                      <w:rFonts w:eastAsia="Calibri"/>
                      <w:sz w:val="20"/>
                      <w:szCs w:val="20"/>
                    </w:rPr>
                  </w:pPr>
                  <w:r w:rsidRPr="00AF6E68">
                    <w:rPr>
                      <w:rFonts w:eastAsia="Calibri"/>
                      <w:sz w:val="20"/>
                      <w:szCs w:val="20"/>
                    </w:rPr>
                    <w:t>Negatīva ietekme uz gaisvadu kontakttīkla sistēm</w:t>
                  </w:r>
                  <w:r>
                    <w:rPr>
                      <w:rFonts w:eastAsia="Calibri"/>
                      <w:sz w:val="20"/>
                      <w:szCs w:val="20"/>
                    </w:rPr>
                    <w:t>u</w:t>
                  </w:r>
                  <w:r w:rsidRPr="00AF6E68">
                    <w:rPr>
                      <w:rFonts w:eastAsia="Calibri"/>
                      <w:sz w:val="20"/>
                      <w:szCs w:val="20"/>
                    </w:rPr>
                    <w:t xml:space="preserve"> </w:t>
                  </w:r>
                  <w:r>
                    <w:rPr>
                      <w:rFonts w:eastAsia="Calibri"/>
                      <w:sz w:val="20"/>
                      <w:szCs w:val="20"/>
                    </w:rPr>
                    <w:t>(</w:t>
                  </w:r>
                  <w:r w:rsidRPr="00AF6E68">
                    <w:rPr>
                      <w:rFonts w:eastAsia="Calibri"/>
                      <w:sz w:val="20"/>
                      <w:szCs w:val="20"/>
                    </w:rPr>
                    <w:t>gaisvadu līnijas sagriešanās, atvienošanās risks, strāvas padeves pārtraukums</w:t>
                  </w:r>
                  <w:r>
                    <w:rPr>
                      <w:rFonts w:eastAsia="Calibri"/>
                      <w:sz w:val="20"/>
                      <w:szCs w:val="20"/>
                    </w:rPr>
                    <w:t>), kas izraisa vilciena ātruma samazināšanos vai apstāšanos, rada nepieciešamību veikt steidzamu apkopi.</w:t>
                  </w:r>
                </w:p>
              </w:tc>
            </w:tr>
            <w:tr w:rsidR="00AF6E68" w14:paraId="6CB22493" w14:textId="77777777" w:rsidTr="00962149">
              <w:tc>
                <w:tcPr>
                  <w:tcW w:w="1444" w:type="dxa"/>
                  <w:vMerge/>
                </w:tcPr>
                <w:p w14:paraId="4D6F9AEB" w14:textId="77777777" w:rsidR="00AF6E68" w:rsidRDefault="00AF6E68" w:rsidP="0054431E">
                  <w:pPr>
                    <w:spacing w:line="240" w:lineRule="auto"/>
                    <w:jc w:val="both"/>
                    <w:rPr>
                      <w:rFonts w:eastAsia="Calibri"/>
                      <w:sz w:val="20"/>
                      <w:szCs w:val="20"/>
                    </w:rPr>
                  </w:pPr>
                </w:p>
              </w:tc>
              <w:tc>
                <w:tcPr>
                  <w:tcW w:w="2268" w:type="dxa"/>
                </w:tcPr>
                <w:p w14:paraId="4D9714D1" w14:textId="769D20E1" w:rsidR="00AF6E68" w:rsidRDefault="00AF6E68" w:rsidP="0054431E">
                  <w:pPr>
                    <w:spacing w:line="240" w:lineRule="auto"/>
                    <w:jc w:val="both"/>
                    <w:rPr>
                      <w:rFonts w:eastAsia="Calibri"/>
                      <w:sz w:val="20"/>
                      <w:szCs w:val="20"/>
                    </w:rPr>
                  </w:pPr>
                  <w:r w:rsidRPr="00AF6E68">
                    <w:rPr>
                      <w:rFonts w:eastAsia="Calibri"/>
                      <w:sz w:val="20"/>
                      <w:szCs w:val="20"/>
                    </w:rPr>
                    <w:t>Augsta gaisa temperatūra</w:t>
                  </w:r>
                </w:p>
              </w:tc>
              <w:tc>
                <w:tcPr>
                  <w:tcW w:w="2724" w:type="dxa"/>
                </w:tcPr>
                <w:p w14:paraId="380681E6" w14:textId="2F356DBC" w:rsidR="00AF6E68" w:rsidRDefault="00AF6E68" w:rsidP="0054431E">
                  <w:pPr>
                    <w:spacing w:line="240" w:lineRule="auto"/>
                    <w:jc w:val="both"/>
                    <w:rPr>
                      <w:rFonts w:eastAsia="Calibri"/>
                      <w:sz w:val="20"/>
                      <w:szCs w:val="20"/>
                    </w:rPr>
                  </w:pPr>
                  <w:r w:rsidRPr="00AF6E68">
                    <w:rPr>
                      <w:rFonts w:eastAsia="Calibri"/>
                      <w:sz w:val="20"/>
                      <w:szCs w:val="20"/>
                    </w:rPr>
                    <w:t>Negatīva ietekme uz</w:t>
                  </w:r>
                  <w:r>
                    <w:rPr>
                      <w:rFonts w:eastAsia="Calibri"/>
                      <w:sz w:val="20"/>
                      <w:szCs w:val="20"/>
                    </w:rPr>
                    <w:t xml:space="preserve"> p</w:t>
                  </w:r>
                  <w:r w:rsidRPr="00AF6E68">
                    <w:rPr>
                      <w:rFonts w:eastAsia="Calibri"/>
                      <w:sz w:val="20"/>
                      <w:szCs w:val="20"/>
                    </w:rPr>
                    <w:t>ārraides spēkstacij</w:t>
                  </w:r>
                  <w:r>
                    <w:rPr>
                      <w:rFonts w:eastAsia="Calibri"/>
                      <w:sz w:val="20"/>
                      <w:szCs w:val="20"/>
                    </w:rPr>
                    <w:t>ām</w:t>
                  </w:r>
                  <w:r w:rsidR="00767488">
                    <w:rPr>
                      <w:rFonts w:eastAsia="Calibri"/>
                      <w:sz w:val="20"/>
                      <w:szCs w:val="20"/>
                    </w:rPr>
                    <w:t xml:space="preserve"> un vilcienu uzlādes infrastruktūru</w:t>
                  </w:r>
                  <w:r>
                    <w:rPr>
                      <w:rFonts w:eastAsia="Calibri"/>
                      <w:sz w:val="20"/>
                      <w:szCs w:val="20"/>
                    </w:rPr>
                    <w:t xml:space="preserve">, kas izraisa </w:t>
                  </w:r>
                  <w:r w:rsidRPr="00AF6E68">
                    <w:rPr>
                      <w:rFonts w:eastAsia="Calibri"/>
                      <w:sz w:val="20"/>
                      <w:szCs w:val="20"/>
                    </w:rPr>
                    <w:t>jaudas zudum</w:t>
                  </w:r>
                  <w:r>
                    <w:rPr>
                      <w:rFonts w:eastAsia="Calibri"/>
                      <w:sz w:val="20"/>
                      <w:szCs w:val="20"/>
                    </w:rPr>
                    <w:t>u vai rada nepieciešamību veikt steidzamu apkopi.</w:t>
                  </w:r>
                </w:p>
              </w:tc>
            </w:tr>
            <w:tr w:rsidR="00AF6E68" w14:paraId="0F8F06B6" w14:textId="77777777" w:rsidTr="00962149">
              <w:tc>
                <w:tcPr>
                  <w:tcW w:w="1444" w:type="dxa"/>
                  <w:vMerge/>
                </w:tcPr>
                <w:p w14:paraId="09321B4F" w14:textId="77777777" w:rsidR="00AF6E68" w:rsidRDefault="00AF6E68" w:rsidP="0054431E">
                  <w:pPr>
                    <w:spacing w:line="240" w:lineRule="auto"/>
                    <w:jc w:val="both"/>
                    <w:rPr>
                      <w:rFonts w:eastAsia="Calibri"/>
                      <w:sz w:val="20"/>
                      <w:szCs w:val="20"/>
                    </w:rPr>
                  </w:pPr>
                </w:p>
              </w:tc>
              <w:tc>
                <w:tcPr>
                  <w:tcW w:w="2268" w:type="dxa"/>
                </w:tcPr>
                <w:p w14:paraId="624E5B92" w14:textId="28732FD6" w:rsidR="00AF6E68" w:rsidRDefault="00AF6E68" w:rsidP="0054431E">
                  <w:pPr>
                    <w:spacing w:line="240" w:lineRule="auto"/>
                    <w:jc w:val="both"/>
                    <w:rPr>
                      <w:rFonts w:eastAsia="Calibri"/>
                      <w:sz w:val="20"/>
                      <w:szCs w:val="20"/>
                    </w:rPr>
                  </w:pPr>
                  <w:r w:rsidRPr="00AF6E68">
                    <w:rPr>
                      <w:rFonts w:eastAsia="Calibri"/>
                      <w:sz w:val="20"/>
                      <w:szCs w:val="20"/>
                    </w:rPr>
                    <w:t>Zema gaisa temperatūra</w:t>
                  </w:r>
                </w:p>
              </w:tc>
              <w:tc>
                <w:tcPr>
                  <w:tcW w:w="2724" w:type="dxa"/>
                </w:tcPr>
                <w:p w14:paraId="731BE0E1" w14:textId="7D6EB92D" w:rsidR="00AF6E68" w:rsidRDefault="00AF6E68" w:rsidP="0054431E">
                  <w:pPr>
                    <w:spacing w:line="240" w:lineRule="auto"/>
                    <w:jc w:val="both"/>
                    <w:rPr>
                      <w:rFonts w:eastAsia="Calibri"/>
                      <w:sz w:val="20"/>
                      <w:szCs w:val="20"/>
                    </w:rPr>
                  </w:pPr>
                  <w:r>
                    <w:rPr>
                      <w:rFonts w:eastAsia="Calibri"/>
                      <w:sz w:val="20"/>
                      <w:szCs w:val="20"/>
                    </w:rPr>
                    <w:t>G</w:t>
                  </w:r>
                  <w:r w:rsidRPr="00AF6E68">
                    <w:rPr>
                      <w:rFonts w:eastAsia="Calibri"/>
                      <w:sz w:val="20"/>
                      <w:szCs w:val="20"/>
                    </w:rPr>
                    <w:t>aisvadu kontakttīkla sistēma</w:t>
                  </w:r>
                  <w:r>
                    <w:rPr>
                      <w:rFonts w:eastAsia="Calibri"/>
                      <w:sz w:val="20"/>
                      <w:szCs w:val="20"/>
                    </w:rPr>
                    <w:t>s apledošana,</w:t>
                  </w:r>
                  <w:r w:rsidR="00E6006B">
                    <w:rPr>
                      <w:rFonts w:eastAsia="Calibri"/>
                      <w:sz w:val="20"/>
                      <w:szCs w:val="20"/>
                    </w:rPr>
                    <w:t xml:space="preserve"> pantogrāfa bojājumi, kas izraisa vilciena apstāšanos, </w:t>
                  </w:r>
                  <w:r>
                    <w:rPr>
                      <w:rFonts w:eastAsia="Calibri"/>
                      <w:sz w:val="20"/>
                      <w:szCs w:val="20"/>
                    </w:rPr>
                    <w:t>rada nepieciešamību veikt steidzamu apkopi.</w:t>
                  </w:r>
                </w:p>
              </w:tc>
            </w:tr>
            <w:tr w:rsidR="00E6006B" w14:paraId="0433A2CA" w14:textId="77777777" w:rsidTr="00944A7E">
              <w:trPr>
                <w:trHeight w:val="930"/>
              </w:trPr>
              <w:tc>
                <w:tcPr>
                  <w:tcW w:w="1444" w:type="dxa"/>
                  <w:vMerge/>
                </w:tcPr>
                <w:p w14:paraId="7D01280A" w14:textId="77777777" w:rsidR="00E6006B" w:rsidRDefault="00E6006B" w:rsidP="0054431E">
                  <w:pPr>
                    <w:spacing w:line="240" w:lineRule="auto"/>
                    <w:jc w:val="both"/>
                    <w:rPr>
                      <w:rFonts w:eastAsia="Calibri"/>
                      <w:sz w:val="20"/>
                      <w:szCs w:val="20"/>
                    </w:rPr>
                  </w:pPr>
                </w:p>
              </w:tc>
              <w:tc>
                <w:tcPr>
                  <w:tcW w:w="2268" w:type="dxa"/>
                </w:tcPr>
                <w:p w14:paraId="306A031E" w14:textId="78F89CE4" w:rsidR="00E6006B" w:rsidRDefault="00E6006B" w:rsidP="0054431E">
                  <w:pPr>
                    <w:spacing w:line="240" w:lineRule="auto"/>
                    <w:jc w:val="both"/>
                    <w:rPr>
                      <w:rFonts w:eastAsia="Calibri"/>
                      <w:sz w:val="20"/>
                      <w:szCs w:val="20"/>
                    </w:rPr>
                  </w:pPr>
                  <w:r w:rsidRPr="00E6006B">
                    <w:rPr>
                      <w:rFonts w:eastAsia="Calibri"/>
                      <w:sz w:val="20"/>
                      <w:szCs w:val="20"/>
                    </w:rPr>
                    <w:t>Spēcīgs vējš</w:t>
                  </w:r>
                </w:p>
              </w:tc>
              <w:tc>
                <w:tcPr>
                  <w:tcW w:w="2724" w:type="dxa"/>
                </w:tcPr>
                <w:p w14:paraId="6E06568F" w14:textId="43602B5F" w:rsidR="00E6006B" w:rsidRDefault="00E6006B" w:rsidP="0054431E">
                  <w:pPr>
                    <w:spacing w:line="240" w:lineRule="auto"/>
                    <w:jc w:val="both"/>
                    <w:rPr>
                      <w:rFonts w:eastAsia="Calibri"/>
                      <w:sz w:val="20"/>
                      <w:szCs w:val="20"/>
                    </w:rPr>
                  </w:pPr>
                  <w:r>
                    <w:rPr>
                      <w:rFonts w:eastAsia="Calibri"/>
                      <w:sz w:val="20"/>
                      <w:szCs w:val="20"/>
                    </w:rPr>
                    <w:t>G</w:t>
                  </w:r>
                  <w:r w:rsidRPr="00E6006B">
                    <w:rPr>
                      <w:rFonts w:eastAsia="Calibri"/>
                      <w:sz w:val="20"/>
                      <w:szCs w:val="20"/>
                    </w:rPr>
                    <w:t>aisvadu kontakttīkla sistēma</w:t>
                  </w:r>
                  <w:r>
                    <w:rPr>
                      <w:rFonts w:eastAsia="Calibri"/>
                      <w:sz w:val="20"/>
                      <w:szCs w:val="20"/>
                    </w:rPr>
                    <w:t>s bojājumi, sagāzti koki, kas izraisa vilciena apstāšanos.</w:t>
                  </w:r>
                </w:p>
              </w:tc>
            </w:tr>
          </w:tbl>
          <w:p w14:paraId="50378AD5" w14:textId="77777777" w:rsidR="00AF6E68" w:rsidRDefault="00AF6E68" w:rsidP="0054431E">
            <w:pPr>
              <w:spacing w:line="240" w:lineRule="auto"/>
              <w:jc w:val="both"/>
              <w:rPr>
                <w:rFonts w:eastAsia="Calibri"/>
                <w:sz w:val="20"/>
                <w:szCs w:val="20"/>
              </w:rPr>
            </w:pPr>
          </w:p>
          <w:p w14:paraId="727AA675" w14:textId="77777777" w:rsidR="00AF6E68" w:rsidRPr="0054431E" w:rsidRDefault="00AF6E68" w:rsidP="0054431E">
            <w:pPr>
              <w:spacing w:line="240" w:lineRule="auto"/>
              <w:jc w:val="both"/>
              <w:rPr>
                <w:rFonts w:eastAsia="Calibri"/>
                <w:sz w:val="20"/>
                <w:szCs w:val="20"/>
              </w:rPr>
            </w:pPr>
          </w:p>
          <w:tbl>
            <w:tblPr>
              <w:tblStyle w:val="TableGrid1"/>
              <w:tblW w:w="626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444"/>
              <w:gridCol w:w="2268"/>
              <w:gridCol w:w="2551"/>
            </w:tblGrid>
            <w:tr w:rsidR="0054431E" w:rsidRPr="0054431E" w14:paraId="653ECEAC" w14:textId="77777777" w:rsidTr="008F0C19">
              <w:tc>
                <w:tcPr>
                  <w:tcW w:w="1444" w:type="dxa"/>
                  <w:vMerge w:val="restart"/>
                </w:tcPr>
                <w:p w14:paraId="479CD626" w14:textId="144F5AD2" w:rsidR="0054431E" w:rsidRPr="0054431E" w:rsidRDefault="0054431E" w:rsidP="0054431E">
                  <w:pPr>
                    <w:spacing w:line="240" w:lineRule="auto"/>
                    <w:jc w:val="both"/>
                    <w:rPr>
                      <w:rFonts w:eastAsia="Calibri"/>
                      <w:sz w:val="20"/>
                      <w:szCs w:val="20"/>
                    </w:rPr>
                  </w:pPr>
                </w:p>
              </w:tc>
              <w:tc>
                <w:tcPr>
                  <w:tcW w:w="2268" w:type="dxa"/>
                </w:tcPr>
                <w:p w14:paraId="66D04AD7" w14:textId="38D59D2A" w:rsidR="0054431E" w:rsidRPr="0054431E" w:rsidRDefault="0054431E" w:rsidP="0054431E">
                  <w:pPr>
                    <w:spacing w:line="240" w:lineRule="auto"/>
                    <w:jc w:val="both"/>
                    <w:rPr>
                      <w:rFonts w:eastAsia="Calibri"/>
                      <w:sz w:val="20"/>
                      <w:szCs w:val="20"/>
                    </w:rPr>
                  </w:pPr>
                </w:p>
              </w:tc>
              <w:tc>
                <w:tcPr>
                  <w:tcW w:w="2551" w:type="dxa"/>
                </w:tcPr>
                <w:p w14:paraId="5FD40E8B" w14:textId="635A6675" w:rsidR="0054431E" w:rsidRPr="0054431E" w:rsidRDefault="0054431E" w:rsidP="0054431E">
                  <w:pPr>
                    <w:spacing w:line="240" w:lineRule="auto"/>
                    <w:jc w:val="both"/>
                    <w:rPr>
                      <w:rFonts w:eastAsia="Calibri"/>
                      <w:sz w:val="20"/>
                      <w:szCs w:val="20"/>
                    </w:rPr>
                  </w:pPr>
                </w:p>
              </w:tc>
            </w:tr>
            <w:tr w:rsidR="0054431E" w:rsidRPr="0054431E" w14:paraId="62054BD4" w14:textId="77777777" w:rsidTr="008F0C19">
              <w:tc>
                <w:tcPr>
                  <w:tcW w:w="1444" w:type="dxa"/>
                  <w:vMerge/>
                </w:tcPr>
                <w:p w14:paraId="358B9711" w14:textId="77777777" w:rsidR="0054431E" w:rsidRPr="0054431E" w:rsidRDefault="0054431E" w:rsidP="0054431E">
                  <w:pPr>
                    <w:spacing w:line="240" w:lineRule="auto"/>
                    <w:jc w:val="both"/>
                    <w:rPr>
                      <w:rFonts w:eastAsia="Calibri"/>
                      <w:sz w:val="20"/>
                      <w:szCs w:val="20"/>
                    </w:rPr>
                  </w:pPr>
                </w:p>
              </w:tc>
              <w:tc>
                <w:tcPr>
                  <w:tcW w:w="2268" w:type="dxa"/>
                </w:tcPr>
                <w:p w14:paraId="472F474F" w14:textId="712F4C1A" w:rsidR="0054431E" w:rsidRPr="0054431E" w:rsidRDefault="0054431E" w:rsidP="0054431E">
                  <w:pPr>
                    <w:spacing w:line="240" w:lineRule="auto"/>
                    <w:jc w:val="both"/>
                    <w:rPr>
                      <w:rFonts w:eastAsia="Calibri"/>
                      <w:sz w:val="20"/>
                      <w:szCs w:val="20"/>
                    </w:rPr>
                  </w:pPr>
                </w:p>
              </w:tc>
              <w:tc>
                <w:tcPr>
                  <w:tcW w:w="2551" w:type="dxa"/>
                </w:tcPr>
                <w:p w14:paraId="7BCF7D42" w14:textId="78074764" w:rsidR="0054431E" w:rsidRPr="0054431E" w:rsidRDefault="0054431E" w:rsidP="0054431E">
                  <w:pPr>
                    <w:spacing w:line="240" w:lineRule="auto"/>
                    <w:jc w:val="both"/>
                    <w:rPr>
                      <w:rFonts w:eastAsia="Calibri"/>
                      <w:sz w:val="20"/>
                      <w:szCs w:val="20"/>
                    </w:rPr>
                  </w:pPr>
                </w:p>
              </w:tc>
            </w:tr>
            <w:tr w:rsidR="0054431E" w:rsidRPr="0054431E" w14:paraId="61730D46" w14:textId="77777777" w:rsidTr="008F0C19">
              <w:tc>
                <w:tcPr>
                  <w:tcW w:w="1444" w:type="dxa"/>
                  <w:vMerge/>
                </w:tcPr>
                <w:p w14:paraId="003AF1CA" w14:textId="77777777" w:rsidR="0054431E" w:rsidRPr="0054431E" w:rsidRDefault="0054431E" w:rsidP="0054431E">
                  <w:pPr>
                    <w:spacing w:line="240" w:lineRule="auto"/>
                    <w:jc w:val="both"/>
                    <w:rPr>
                      <w:rFonts w:eastAsia="Calibri"/>
                      <w:sz w:val="20"/>
                      <w:szCs w:val="20"/>
                    </w:rPr>
                  </w:pPr>
                </w:p>
              </w:tc>
              <w:tc>
                <w:tcPr>
                  <w:tcW w:w="2268" w:type="dxa"/>
                </w:tcPr>
                <w:p w14:paraId="705A89D4" w14:textId="317C6217" w:rsidR="0054431E" w:rsidRPr="0054431E" w:rsidRDefault="0054431E" w:rsidP="0054431E">
                  <w:pPr>
                    <w:spacing w:line="240" w:lineRule="auto"/>
                    <w:jc w:val="both"/>
                    <w:rPr>
                      <w:rFonts w:eastAsia="Calibri"/>
                      <w:sz w:val="20"/>
                      <w:szCs w:val="20"/>
                    </w:rPr>
                  </w:pPr>
                </w:p>
              </w:tc>
              <w:tc>
                <w:tcPr>
                  <w:tcW w:w="2551" w:type="dxa"/>
                </w:tcPr>
                <w:p w14:paraId="5C6673BD" w14:textId="0BCBCC0C" w:rsidR="0054431E" w:rsidRPr="0054431E" w:rsidRDefault="0054431E" w:rsidP="0054431E">
                  <w:pPr>
                    <w:spacing w:line="240" w:lineRule="auto"/>
                    <w:jc w:val="both"/>
                    <w:rPr>
                      <w:rFonts w:eastAsia="Calibri"/>
                      <w:sz w:val="20"/>
                      <w:szCs w:val="20"/>
                    </w:rPr>
                  </w:pPr>
                </w:p>
              </w:tc>
            </w:tr>
          </w:tbl>
          <w:p w14:paraId="15D11AB0" w14:textId="77777777" w:rsidR="0054431E" w:rsidRDefault="0054431E" w:rsidP="0054431E">
            <w:pPr>
              <w:spacing w:line="240" w:lineRule="auto"/>
              <w:jc w:val="both"/>
              <w:rPr>
                <w:rFonts w:eastAsia="Calibri"/>
                <w:sz w:val="20"/>
                <w:szCs w:val="20"/>
              </w:rPr>
            </w:pPr>
          </w:p>
          <w:p w14:paraId="40064B32" w14:textId="77777777" w:rsidR="00EB5025" w:rsidRPr="00EB5025" w:rsidRDefault="00EB5025" w:rsidP="00EB5025">
            <w:pPr>
              <w:spacing w:line="240" w:lineRule="auto"/>
              <w:jc w:val="both"/>
              <w:rPr>
                <w:rFonts w:eastAsiaTheme="minorEastAsia"/>
                <w:sz w:val="20"/>
                <w:szCs w:val="20"/>
              </w:rPr>
            </w:pPr>
            <w:r w:rsidRPr="00EB5025">
              <w:rPr>
                <w:rFonts w:eastAsiaTheme="minorEastAsia"/>
                <w:sz w:val="20"/>
                <w:szCs w:val="20"/>
              </w:rPr>
              <w:t xml:space="preserve">Attiecībā uz </w:t>
            </w:r>
            <w:proofErr w:type="spellStart"/>
            <w:r w:rsidRPr="00EB5025">
              <w:rPr>
                <w:rFonts w:eastAsiaTheme="minorEastAsia"/>
                <w:sz w:val="20"/>
                <w:szCs w:val="20"/>
              </w:rPr>
              <w:t>ritekļiem</w:t>
            </w:r>
            <w:proofErr w:type="spellEnd"/>
            <w:r w:rsidRPr="00EB5025">
              <w:rPr>
                <w:rFonts w:eastAsiaTheme="minorEastAsia"/>
                <w:sz w:val="20"/>
                <w:szCs w:val="20"/>
              </w:rPr>
              <w:t xml:space="preserve"> jānorāda, ka ekstremālu klimatisko apstākļu gadījumā pastāv vilciena apstāšanās risks un ar to saistītie izaicinājumi, t.i., salona ventilēšana un klimata nodrošināšana.</w:t>
            </w:r>
          </w:p>
          <w:p w14:paraId="2033FEDE" w14:textId="77777777" w:rsidR="00EB5025" w:rsidRPr="0054431E" w:rsidRDefault="00EB5025" w:rsidP="0054431E">
            <w:pPr>
              <w:spacing w:line="240" w:lineRule="auto"/>
              <w:jc w:val="both"/>
              <w:rPr>
                <w:rFonts w:eastAsia="Calibri"/>
                <w:sz w:val="20"/>
                <w:szCs w:val="20"/>
              </w:rPr>
            </w:pPr>
          </w:p>
          <w:p w14:paraId="11F986C4" w14:textId="77777777" w:rsidR="0054431E" w:rsidRPr="0054431E" w:rsidRDefault="0054431E" w:rsidP="0054431E">
            <w:pPr>
              <w:spacing w:line="240" w:lineRule="auto"/>
              <w:jc w:val="both"/>
              <w:rPr>
                <w:rFonts w:eastAsia="Calibri"/>
                <w:b/>
                <w:bCs/>
                <w:sz w:val="20"/>
                <w:szCs w:val="20"/>
              </w:rPr>
            </w:pPr>
            <w:r w:rsidRPr="0054431E">
              <w:rPr>
                <w:rFonts w:eastAsia="Calibri"/>
                <w:b/>
                <w:bCs/>
                <w:sz w:val="20"/>
                <w:szCs w:val="20"/>
              </w:rPr>
              <w:t>Potenciāli plānotie pasākumi un to sasaiste ar pielāgošanās klimata pārmaiņām mērķiem</w:t>
            </w:r>
          </w:p>
          <w:p w14:paraId="2CB3C2DA" w14:textId="052ED84B" w:rsidR="0054431E" w:rsidRPr="0054431E" w:rsidRDefault="0054431E" w:rsidP="0054431E">
            <w:pPr>
              <w:spacing w:line="240" w:lineRule="auto"/>
              <w:jc w:val="both"/>
              <w:rPr>
                <w:rFonts w:eastAsiaTheme="minorEastAsia"/>
                <w:sz w:val="20"/>
                <w:szCs w:val="20"/>
              </w:rPr>
            </w:pPr>
            <w:r w:rsidRPr="0054431E">
              <w:rPr>
                <w:rFonts w:eastAsiaTheme="minorEastAsia"/>
                <w:sz w:val="20"/>
                <w:szCs w:val="20"/>
              </w:rPr>
              <w:t xml:space="preserve">Jau projektēšanas stadijā tiks ņemti vērā ar klimata pārmaiņām saistītie riski un tiks noteikti arī ar būvniecību, uzturēšanu un ekspluatāciju saistītie riski. Šāda pieeja ļauj pārvaldīt ar klimata pārmaiņām radītos riskus, t.i., izvērtēt pašreizējos un iespējamos nākotnes klimata riskus. Vienlaikus tas ļauj savlaicīgi izvērtēt arī finansiāli izdevīgākās adaptācijas iespējas, piemēram, temperatūras un nokrišņu ietekme uz infrastruktūru, preventīvās darbības, lai novērstu potenciāli radītos vētras bojājumus. </w:t>
            </w:r>
          </w:p>
          <w:p w14:paraId="07470123" w14:textId="77777777" w:rsidR="0054431E" w:rsidRPr="0054431E" w:rsidRDefault="0054431E" w:rsidP="0054431E">
            <w:pPr>
              <w:spacing w:line="240" w:lineRule="auto"/>
              <w:ind w:left="720"/>
              <w:contextualSpacing/>
              <w:jc w:val="both"/>
              <w:rPr>
                <w:rFonts w:eastAsiaTheme="minorEastAsia"/>
                <w:sz w:val="20"/>
                <w:szCs w:val="20"/>
              </w:rPr>
            </w:pPr>
            <w:r w:rsidRPr="0054431E">
              <w:rPr>
                <w:rFonts w:eastAsiaTheme="minorEastAsia"/>
                <w:sz w:val="20"/>
                <w:szCs w:val="20"/>
              </w:rPr>
              <w:t xml:space="preserve"> </w:t>
            </w:r>
          </w:p>
          <w:p w14:paraId="4A034A52" w14:textId="77777777" w:rsidR="0054431E" w:rsidRPr="0054431E" w:rsidRDefault="0054431E" w:rsidP="0054431E">
            <w:pPr>
              <w:spacing w:line="240" w:lineRule="auto"/>
              <w:jc w:val="both"/>
              <w:rPr>
                <w:rFonts w:eastAsiaTheme="minorEastAsia"/>
                <w:sz w:val="20"/>
                <w:szCs w:val="20"/>
              </w:rPr>
            </w:pPr>
            <w:r w:rsidRPr="0054431E">
              <w:rPr>
                <w:rFonts w:eastAsia="Calibri"/>
                <w:b/>
                <w:bCs/>
                <w:sz w:val="20"/>
                <w:szCs w:val="20"/>
              </w:rPr>
              <w:t>Sasaiste ar nacionālajiem pielāgošanās klimata pārmaiņām plānošanas dokumentiem</w:t>
            </w:r>
          </w:p>
          <w:p w14:paraId="7B4704E0" w14:textId="77777777" w:rsidR="0054431E" w:rsidRPr="0054431E" w:rsidRDefault="0054431E" w:rsidP="0054431E">
            <w:pPr>
              <w:spacing w:line="240" w:lineRule="auto"/>
              <w:jc w:val="both"/>
              <w:rPr>
                <w:rFonts w:eastAsia="Calibri"/>
                <w:sz w:val="20"/>
                <w:szCs w:val="20"/>
              </w:rPr>
            </w:pPr>
            <w:r w:rsidRPr="0054431E">
              <w:rPr>
                <w:rFonts w:eastAsia="Calibri"/>
                <w:sz w:val="20"/>
                <w:szCs w:val="20"/>
              </w:rPr>
              <w:t xml:space="preserve">Viens no Latvijas pielāgošanās klimata pārmaiņām plānā laika posmam līdz 2030.gadam paredzētajiem rīcības virzieniem ir inženierkomunikāciju sistēmas un infrastruktūras nodrošināšana un pielāgošana klimata ekstrēmiem, kur viens no paredzētajiem pielāgošanās pasākumiem ir: nodrošināt  esošās transporta (autoceļu, dzelzceļa, lidostu, ostu) un elektronisko sakaru infrastruktūras pielāgošanu  klimata pārmaiņām. </w:t>
            </w:r>
          </w:p>
          <w:p w14:paraId="6E930473" w14:textId="77777777" w:rsidR="0054431E" w:rsidRPr="0054431E" w:rsidRDefault="0054431E" w:rsidP="0054431E">
            <w:pPr>
              <w:spacing w:line="240" w:lineRule="auto"/>
              <w:jc w:val="both"/>
              <w:rPr>
                <w:rFonts w:eastAsiaTheme="minorEastAsia"/>
                <w:sz w:val="20"/>
                <w:szCs w:val="20"/>
              </w:rPr>
            </w:pPr>
          </w:p>
        </w:tc>
      </w:tr>
      <w:tr w:rsidR="0054431E" w:rsidRPr="0054431E" w14:paraId="2B336F9C" w14:textId="77777777" w:rsidTr="0054431E">
        <w:trPr>
          <w:trHeight w:val="167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49ADFDCB"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lastRenderedPageBreak/>
              <w:t xml:space="preserve">Ilgtspējīga ūdens un jūras resursu izmantošana un aizsardzība. </w:t>
            </w:r>
            <w:r w:rsidRPr="0054431E">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32EE2452" w14:textId="77777777" w:rsidR="0054431E" w:rsidRPr="0054431E"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4F433E1"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1.daļu.</w:t>
            </w:r>
          </w:p>
          <w:p w14:paraId="577733A0" w14:textId="77777777" w:rsidR="0054431E" w:rsidRPr="0054431E" w:rsidRDefault="0054431E" w:rsidP="0054431E">
            <w:pPr>
              <w:spacing w:line="240" w:lineRule="auto"/>
              <w:rPr>
                <w:sz w:val="20"/>
                <w:szCs w:val="20"/>
                <w:lang w:eastAsia="lv-LV"/>
              </w:rPr>
            </w:pPr>
          </w:p>
          <w:p w14:paraId="130468C1" w14:textId="77777777" w:rsidR="0054431E" w:rsidRPr="0054431E" w:rsidRDefault="0054431E" w:rsidP="0054431E">
            <w:pPr>
              <w:spacing w:line="240" w:lineRule="auto"/>
              <w:ind w:left="173"/>
              <w:contextualSpacing/>
              <w:rPr>
                <w:sz w:val="20"/>
                <w:szCs w:val="20"/>
                <w:lang w:val="en-US" w:eastAsia="lv-LV"/>
              </w:rPr>
            </w:pPr>
          </w:p>
        </w:tc>
      </w:tr>
      <w:tr w:rsidR="0054431E" w:rsidRPr="0054431E" w14:paraId="1E65B6CA" w14:textId="77777777" w:rsidTr="0054431E">
        <w:trPr>
          <w:trHeight w:val="68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F4D6FB0"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t xml:space="preserve">Pāreja uz aprites ekonomiku, ieskaitot atkritumu rašanās novēršanu un to </w:t>
            </w:r>
            <w:proofErr w:type="spellStart"/>
            <w:r w:rsidRPr="0054431E">
              <w:rPr>
                <w:rFonts w:eastAsia="Times New Roman"/>
                <w:b/>
                <w:bCs/>
                <w:sz w:val="20"/>
                <w:szCs w:val="20"/>
                <w:lang w:eastAsia="lv-LV"/>
              </w:rPr>
              <w:t>reciklēšanu</w:t>
            </w:r>
            <w:proofErr w:type="spellEnd"/>
            <w:r w:rsidRPr="0054431E">
              <w:rPr>
                <w:rFonts w:eastAsia="Times New Roman"/>
                <w:sz w:val="20"/>
                <w:szCs w:val="20"/>
                <w:lang w:eastAsia="lv-LV"/>
              </w:rPr>
              <w:t xml:space="preserve">. Vai paredzams, ka pasākums: (i) būtiski palielinās atkritumu rašanos, </w:t>
            </w:r>
            <w:proofErr w:type="spellStart"/>
            <w:r w:rsidRPr="0054431E">
              <w:rPr>
                <w:rFonts w:eastAsia="Times New Roman"/>
                <w:sz w:val="20"/>
                <w:szCs w:val="20"/>
                <w:lang w:eastAsia="lv-LV"/>
              </w:rPr>
              <w:t>incinerāciju</w:t>
            </w:r>
            <w:proofErr w:type="spellEnd"/>
            <w:r w:rsidRPr="0054431E">
              <w:rPr>
                <w:rFonts w:eastAsia="Times New Roman"/>
                <w:sz w:val="20"/>
                <w:szCs w:val="20"/>
                <w:lang w:eastAsia="lv-LV"/>
              </w:rPr>
              <w:t xml:space="preserve"> vai apglabāšanu, izņemot nepārstrādājamu bīstamo atkritumu </w:t>
            </w:r>
            <w:proofErr w:type="spellStart"/>
            <w:r w:rsidRPr="0054431E">
              <w:rPr>
                <w:rFonts w:eastAsia="Times New Roman"/>
                <w:sz w:val="20"/>
                <w:szCs w:val="20"/>
                <w:lang w:eastAsia="lv-LV"/>
              </w:rPr>
              <w:t>incinerāciju</w:t>
            </w:r>
            <w:proofErr w:type="spellEnd"/>
            <w:r w:rsidRPr="0054431E">
              <w:rPr>
                <w:rFonts w:eastAsia="Times New Roman"/>
                <w:sz w:val="20"/>
                <w:szCs w:val="20"/>
                <w:lang w:eastAsia="lv-LV"/>
              </w:rPr>
              <w:t>; vai</w:t>
            </w:r>
            <w:r w:rsidRPr="0054431E">
              <w:rPr>
                <w:rFonts w:eastAsia="Times New Roman"/>
                <w:sz w:val="20"/>
                <w:szCs w:val="20"/>
                <w:lang w:eastAsia="lv-LV"/>
              </w:rPr>
              <w:br/>
              <w:t xml:space="preserve">(ii) dabas resursu tiešā vai netiešā izmantošanā jebkurā to aprites cikla posmā radīs būtisku </w:t>
            </w:r>
            <w:proofErr w:type="spellStart"/>
            <w:r w:rsidRPr="0054431E">
              <w:rPr>
                <w:rFonts w:eastAsia="Times New Roman"/>
                <w:sz w:val="20"/>
                <w:szCs w:val="20"/>
                <w:lang w:eastAsia="lv-LV"/>
              </w:rPr>
              <w:t>neefektivitāti</w:t>
            </w:r>
            <w:proofErr w:type="spellEnd"/>
            <w:r w:rsidRPr="0054431E">
              <w:rPr>
                <w:rFonts w:eastAsia="Times New Roman"/>
                <w:sz w:val="20"/>
                <w:szCs w:val="20"/>
                <w:lang w:eastAsia="lv-LV"/>
              </w:rPr>
              <w:t>, kas netiek samazināta līdz minimumam ar atbilstošiem pasākumiem; vai</w:t>
            </w:r>
            <w:r w:rsidRPr="0054431E">
              <w:rPr>
                <w:rFonts w:eastAsia="Times New Roman"/>
                <w:sz w:val="20"/>
                <w:szCs w:val="20"/>
                <w:lang w:eastAsia="lv-LV"/>
              </w:rPr>
              <w:br/>
              <w:t>(iii) radīs būtisku un ilgtermiņa kaitējumu videi attiecībā uz aprites ekonomiku?</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08C29FBD" w14:textId="77777777" w:rsidR="0054431E" w:rsidRPr="0054431E"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2D76BF3F"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1.daļu.</w:t>
            </w:r>
          </w:p>
          <w:p w14:paraId="3F93A675" w14:textId="77777777" w:rsidR="0054431E" w:rsidRPr="0054431E" w:rsidRDefault="0054431E" w:rsidP="0054431E">
            <w:pPr>
              <w:suppressAutoHyphens/>
              <w:autoSpaceDN w:val="0"/>
              <w:spacing w:after="120" w:line="240" w:lineRule="auto"/>
              <w:jc w:val="both"/>
              <w:textAlignment w:val="baseline"/>
              <w:rPr>
                <w:rFonts w:eastAsia="Times New Roman"/>
                <w:sz w:val="20"/>
                <w:szCs w:val="20"/>
                <w:lang w:eastAsia="lv-LV"/>
              </w:rPr>
            </w:pPr>
          </w:p>
        </w:tc>
      </w:tr>
      <w:tr w:rsidR="0054431E" w:rsidRPr="0054431E" w14:paraId="0C550847" w14:textId="77777777" w:rsidTr="0054431E">
        <w:trPr>
          <w:trHeight w:val="542"/>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F222685"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t xml:space="preserve">Piesārņojuma novēršana un kontrole. </w:t>
            </w:r>
            <w:r w:rsidRPr="0054431E">
              <w:rPr>
                <w:rFonts w:eastAsia="Times New Roman"/>
                <w:sz w:val="20"/>
                <w:szCs w:val="20"/>
                <w:lang w:eastAsia="lv-LV"/>
              </w:rPr>
              <w:t>Vai paredzams, ka pasākums ievērojami palielinās piesārņotāju emisijas gaisā, ūdenī vai zemē?</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1C2C8C91" w14:textId="77777777" w:rsidR="0054431E" w:rsidRPr="0054431E"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4195EC1" w14:textId="77777777" w:rsidR="0054431E" w:rsidRPr="0054431E" w:rsidRDefault="0054431E" w:rsidP="0054431E">
            <w:pPr>
              <w:suppressAutoHyphens/>
              <w:autoSpaceDN w:val="0"/>
              <w:spacing w:after="120" w:line="240" w:lineRule="auto"/>
              <w:jc w:val="both"/>
              <w:textAlignment w:val="baseline"/>
              <w:rPr>
                <w:sz w:val="20"/>
                <w:szCs w:val="20"/>
              </w:rPr>
            </w:pPr>
            <w:r w:rsidRPr="0054431E">
              <w:rPr>
                <w:rFonts w:eastAsia="Times New Roman"/>
                <w:sz w:val="20"/>
                <w:szCs w:val="20"/>
                <w:lang w:eastAsia="lv-LV"/>
              </w:rPr>
              <w:t>Skat. novērtējuma 1.daļu.</w:t>
            </w:r>
          </w:p>
        </w:tc>
      </w:tr>
      <w:tr w:rsidR="0054431E" w:rsidRPr="0054431E" w14:paraId="6AA2505D" w14:textId="77777777" w:rsidTr="0054431E">
        <w:trPr>
          <w:trHeight w:val="1679"/>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52B5081"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t>Bioloģiskās daudzveidības un ekosistēmu aizsardzība un atjaunošana.</w:t>
            </w:r>
            <w:r w:rsidRPr="0054431E">
              <w:rPr>
                <w:rFonts w:eastAsia="Times New Roman"/>
                <w:sz w:val="20"/>
                <w:szCs w:val="20"/>
                <w:lang w:eastAsia="lv-LV"/>
              </w:rPr>
              <w:t xml:space="preserve"> Vai paredzams, ka pasākums:</w:t>
            </w:r>
            <w:r w:rsidRPr="0054431E">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59BC2DFE" w14:textId="77777777" w:rsidR="0054431E" w:rsidRPr="0054431E"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233D4DE7"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1.daļu.</w:t>
            </w:r>
          </w:p>
          <w:p w14:paraId="01E26E97" w14:textId="77777777" w:rsidR="0054431E" w:rsidRPr="0054431E" w:rsidRDefault="0054431E" w:rsidP="0054431E">
            <w:pPr>
              <w:spacing w:line="240" w:lineRule="auto"/>
              <w:rPr>
                <w:sz w:val="20"/>
                <w:szCs w:val="20"/>
                <w:lang w:eastAsia="lv-LV"/>
              </w:rPr>
            </w:pPr>
          </w:p>
          <w:p w14:paraId="66B937E6" w14:textId="77777777" w:rsidR="0054431E" w:rsidRPr="0054431E" w:rsidRDefault="0054431E" w:rsidP="0054431E">
            <w:pPr>
              <w:spacing w:line="240" w:lineRule="auto"/>
              <w:rPr>
                <w:sz w:val="20"/>
                <w:szCs w:val="20"/>
                <w:lang w:eastAsia="lv-LV"/>
              </w:rPr>
            </w:pPr>
          </w:p>
        </w:tc>
      </w:tr>
    </w:tbl>
    <w:p w14:paraId="36FBA6E2" w14:textId="6F3E015E" w:rsidR="0054431E" w:rsidRDefault="0054431E" w:rsidP="008B6EDE">
      <w:pPr>
        <w:spacing w:line="240" w:lineRule="auto"/>
        <w:jc w:val="center"/>
        <w:rPr>
          <w:rFonts w:eastAsia="Times New Roman"/>
          <w:b/>
          <w:sz w:val="20"/>
          <w:szCs w:val="20"/>
        </w:rPr>
      </w:pPr>
    </w:p>
    <w:p w14:paraId="38C7681D" w14:textId="77777777" w:rsidR="0054431E" w:rsidRDefault="0054431E" w:rsidP="008B6EDE">
      <w:pPr>
        <w:spacing w:line="240" w:lineRule="auto"/>
        <w:jc w:val="center"/>
        <w:rPr>
          <w:rFonts w:eastAsia="Times New Roman"/>
          <w:b/>
          <w:sz w:val="20"/>
          <w:szCs w:val="20"/>
        </w:rPr>
      </w:pPr>
    </w:p>
    <w:sectPr w:rsidR="0054431E" w:rsidSect="00E3025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74352" w14:textId="77777777" w:rsidR="001912F4" w:rsidRDefault="001912F4" w:rsidP="003062B1">
      <w:pPr>
        <w:spacing w:line="240" w:lineRule="auto"/>
      </w:pPr>
      <w:r>
        <w:separator/>
      </w:r>
    </w:p>
  </w:endnote>
  <w:endnote w:type="continuationSeparator" w:id="0">
    <w:p w14:paraId="76F42C5C" w14:textId="77777777" w:rsidR="001912F4" w:rsidRDefault="001912F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F0572" w14:textId="77777777" w:rsidR="001912F4" w:rsidRDefault="001912F4" w:rsidP="003062B1">
      <w:pPr>
        <w:spacing w:line="240" w:lineRule="auto"/>
      </w:pPr>
      <w:r>
        <w:separator/>
      </w:r>
    </w:p>
  </w:footnote>
  <w:footnote w:type="continuationSeparator" w:id="0">
    <w:p w14:paraId="26D1A774" w14:textId="77777777" w:rsidR="001912F4" w:rsidRDefault="001912F4" w:rsidP="003062B1">
      <w:pPr>
        <w:spacing w:line="240" w:lineRule="auto"/>
      </w:pPr>
      <w:r>
        <w:continuationSeparator/>
      </w:r>
    </w:p>
  </w:footnote>
  <w:footnote w:id="1">
    <w:p w14:paraId="578438D4" w14:textId="77777777" w:rsidR="0054431E" w:rsidRPr="00082AE6" w:rsidRDefault="0054431E" w:rsidP="0054431E">
      <w:pPr>
        <w:pStyle w:val="FootnoteText"/>
        <w:rPr>
          <w:rFonts w:ascii="Times New Roman" w:hAnsi="Times New Roman" w:cs="Times New Roman"/>
          <w:sz w:val="16"/>
          <w:szCs w:val="16"/>
        </w:rPr>
      </w:pPr>
      <w:r w:rsidRPr="00082AE6">
        <w:rPr>
          <w:rStyle w:val="FootnoteReference"/>
          <w:rFonts w:ascii="Times New Roman" w:hAnsi="Times New Roman" w:cs="Times New Roman"/>
          <w:sz w:val="16"/>
          <w:szCs w:val="16"/>
        </w:rPr>
        <w:footnoteRef/>
      </w:r>
      <w:r w:rsidRPr="00082AE6">
        <w:rPr>
          <w:rFonts w:ascii="Times New Roman" w:hAnsi="Times New Roman" w:cs="Times New Roman"/>
          <w:sz w:val="16"/>
          <w:szCs w:val="16"/>
        </w:rPr>
        <w:t xml:space="preserve"> Latvijas pielāgošanās klimata pārmaiņām plāns laika posmam līdz 2030.gadam. Pieejams: </w:t>
      </w:r>
      <w:hyperlink r:id="rId1" w:history="1">
        <w:r w:rsidRPr="00082AE6">
          <w:rPr>
            <w:rStyle w:val="Hyperlink"/>
            <w:rFonts w:ascii="Times New Roman" w:hAnsi="Times New Roman" w:cs="Times New Roman"/>
            <w:sz w:val="16"/>
            <w:szCs w:val="16"/>
          </w:rPr>
          <w:t>https://likumi.lv/ta/id/308330-par-latvijas-pielagosanas-klimata-parmainam-planu-laika-posmam-lidz-2030-gadam</w:t>
        </w:r>
      </w:hyperlink>
      <w:r w:rsidRPr="00082AE6">
        <w:rPr>
          <w:rFonts w:ascii="Times New Roman" w:hAnsi="Times New Roman" w:cs="Times New Roman"/>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3"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5" w15:restartNumberingAfterBreak="0">
    <w:nsid w:val="158413CF"/>
    <w:multiLevelType w:val="hybridMultilevel"/>
    <w:tmpl w:val="21A40E0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7"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2"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3"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4"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6"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7"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051656647">
    <w:abstractNumId w:val="16"/>
  </w:num>
  <w:num w:numId="2" w16cid:durableId="1449395089">
    <w:abstractNumId w:val="11"/>
  </w:num>
  <w:num w:numId="3" w16cid:durableId="1245452647">
    <w:abstractNumId w:val="1"/>
  </w:num>
  <w:num w:numId="4" w16cid:durableId="392318196">
    <w:abstractNumId w:val="17"/>
  </w:num>
  <w:num w:numId="5" w16cid:durableId="1369334321">
    <w:abstractNumId w:val="10"/>
  </w:num>
  <w:num w:numId="6" w16cid:durableId="600067436">
    <w:abstractNumId w:val="12"/>
  </w:num>
  <w:num w:numId="7" w16cid:durableId="1132678113">
    <w:abstractNumId w:val="8"/>
  </w:num>
  <w:num w:numId="8" w16cid:durableId="1375351560">
    <w:abstractNumId w:val="9"/>
  </w:num>
  <w:num w:numId="9" w16cid:durableId="1417630919">
    <w:abstractNumId w:val="15"/>
  </w:num>
  <w:num w:numId="10" w16cid:durableId="23336351">
    <w:abstractNumId w:val="5"/>
  </w:num>
  <w:num w:numId="11" w16cid:durableId="1157187989">
    <w:abstractNumId w:val="6"/>
  </w:num>
  <w:num w:numId="12" w16cid:durableId="1705327698">
    <w:abstractNumId w:val="13"/>
  </w:num>
  <w:num w:numId="13" w16cid:durableId="2010715849">
    <w:abstractNumId w:val="4"/>
  </w:num>
  <w:num w:numId="14" w16cid:durableId="1651325537">
    <w:abstractNumId w:val="2"/>
  </w:num>
  <w:num w:numId="15" w16cid:durableId="321933733">
    <w:abstractNumId w:val="0"/>
  </w:num>
  <w:num w:numId="16" w16cid:durableId="2006200504">
    <w:abstractNumId w:val="7"/>
  </w:num>
  <w:num w:numId="17" w16cid:durableId="946235997">
    <w:abstractNumId w:val="14"/>
  </w:num>
  <w:num w:numId="18" w16cid:durableId="14485054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82AE6"/>
    <w:rsid w:val="000A4B83"/>
    <w:rsid w:val="0014217F"/>
    <w:rsid w:val="001451DA"/>
    <w:rsid w:val="00163D32"/>
    <w:rsid w:val="001871A5"/>
    <w:rsid w:val="001912F4"/>
    <w:rsid w:val="001A42F1"/>
    <w:rsid w:val="001D7941"/>
    <w:rsid w:val="0023370A"/>
    <w:rsid w:val="00261D42"/>
    <w:rsid w:val="00280940"/>
    <w:rsid w:val="002E3192"/>
    <w:rsid w:val="002E351A"/>
    <w:rsid w:val="002F2CCA"/>
    <w:rsid w:val="00302E61"/>
    <w:rsid w:val="003062B1"/>
    <w:rsid w:val="00336337"/>
    <w:rsid w:val="00337923"/>
    <w:rsid w:val="00346A86"/>
    <w:rsid w:val="003909F6"/>
    <w:rsid w:val="00396CE7"/>
    <w:rsid w:val="00404383"/>
    <w:rsid w:val="004125CE"/>
    <w:rsid w:val="004429C2"/>
    <w:rsid w:val="00483379"/>
    <w:rsid w:val="00494930"/>
    <w:rsid w:val="00520543"/>
    <w:rsid w:val="00537767"/>
    <w:rsid w:val="0054431E"/>
    <w:rsid w:val="005832F8"/>
    <w:rsid w:val="005F366D"/>
    <w:rsid w:val="005F49ED"/>
    <w:rsid w:val="00656A37"/>
    <w:rsid w:val="0068486D"/>
    <w:rsid w:val="006E0EA1"/>
    <w:rsid w:val="007268C0"/>
    <w:rsid w:val="0075367C"/>
    <w:rsid w:val="0076169E"/>
    <w:rsid w:val="00767488"/>
    <w:rsid w:val="00780C87"/>
    <w:rsid w:val="007A5EF7"/>
    <w:rsid w:val="007B4E48"/>
    <w:rsid w:val="007D68AF"/>
    <w:rsid w:val="00840565"/>
    <w:rsid w:val="00847CE1"/>
    <w:rsid w:val="0085407D"/>
    <w:rsid w:val="00881C15"/>
    <w:rsid w:val="008B6EDE"/>
    <w:rsid w:val="008E4479"/>
    <w:rsid w:val="008F0C19"/>
    <w:rsid w:val="00914E6E"/>
    <w:rsid w:val="009204E9"/>
    <w:rsid w:val="00935571"/>
    <w:rsid w:val="00962149"/>
    <w:rsid w:val="00A17897"/>
    <w:rsid w:val="00A62DF7"/>
    <w:rsid w:val="00A76657"/>
    <w:rsid w:val="00AC65B8"/>
    <w:rsid w:val="00AD0A7F"/>
    <w:rsid w:val="00AD5312"/>
    <w:rsid w:val="00AF6E68"/>
    <w:rsid w:val="00B32AD8"/>
    <w:rsid w:val="00B76BCF"/>
    <w:rsid w:val="00BD139C"/>
    <w:rsid w:val="00BD19F5"/>
    <w:rsid w:val="00BD560E"/>
    <w:rsid w:val="00C72FF7"/>
    <w:rsid w:val="00C94501"/>
    <w:rsid w:val="00CA7AE2"/>
    <w:rsid w:val="00CC1609"/>
    <w:rsid w:val="00CD752F"/>
    <w:rsid w:val="00D26826"/>
    <w:rsid w:val="00D72931"/>
    <w:rsid w:val="00D87F65"/>
    <w:rsid w:val="00D9107A"/>
    <w:rsid w:val="00DD25B9"/>
    <w:rsid w:val="00DF221C"/>
    <w:rsid w:val="00E16CB4"/>
    <w:rsid w:val="00E30254"/>
    <w:rsid w:val="00E437C2"/>
    <w:rsid w:val="00E6006B"/>
    <w:rsid w:val="00E67D41"/>
    <w:rsid w:val="00EB5025"/>
    <w:rsid w:val="00EC4ACF"/>
    <w:rsid w:val="00F66C96"/>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table" w:customStyle="1" w:styleId="TableGrid1">
    <w:name w:val="Table Grid1"/>
    <w:basedOn w:val="TableNormal"/>
    <w:next w:val="TableGrid"/>
    <w:uiPriority w:val="39"/>
    <w:rsid w:val="00544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1">
    <w:name w:val="List Table 5 Dark - Accent 61"/>
    <w:basedOn w:val="TableNormal"/>
    <w:next w:val="ListTable5Dark-Accent6"/>
    <w:uiPriority w:val="50"/>
    <w:rsid w:val="0054431E"/>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Revision">
    <w:name w:val="Revision"/>
    <w:hidden/>
    <w:uiPriority w:val="99"/>
    <w:semiHidden/>
    <w:rsid w:val="00DF221C"/>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08330-par-latvijas-pielagosanas-klimata-parmainam-planu-laika-posmam-lidz-2030-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2061A4-2F65-44CB-AD19-2D830F206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F38942-9B19-46E3-98AD-AF343739F2AE}">
  <ds:schemaRefs>
    <ds:schemaRef ds:uri="http://schemas.openxmlformats.org/officeDocument/2006/bibliography"/>
  </ds:schemaRefs>
</ds:datastoreItem>
</file>

<file path=customXml/itemProps3.xml><?xml version="1.0" encoding="utf-8"?>
<ds:datastoreItem xmlns:ds="http://schemas.openxmlformats.org/officeDocument/2006/customXml" ds:itemID="{BAFDF736-7272-4E8D-934F-0C61FC4D1AFB}">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89</TotalTime>
  <Pages>4</Pages>
  <Words>7098</Words>
  <Characters>4047</Characters>
  <Application>Microsoft Office Word</Application>
  <DocSecurity>0</DocSecurity>
  <Lines>33</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FM</cp:lastModifiedBy>
  <cp:revision>7</cp:revision>
  <dcterms:created xsi:type="dcterms:W3CDTF">2025-05-29T12:44:00Z</dcterms:created>
  <dcterms:modified xsi:type="dcterms:W3CDTF">2025-05-30T07:25:00Z</dcterms:modified>
</cp:coreProperties>
</file>